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C68C" w14:textId="126119C0" w:rsidR="00B72928" w:rsidRPr="0011555A" w:rsidRDefault="00575A8D" w:rsidP="00B72928">
      <w:pPr>
        <w:spacing w:after="0" w:line="240" w:lineRule="auto"/>
        <w:jc w:val="center"/>
        <w:rPr>
          <w:rFonts w:asciiTheme="majorBidi" w:eastAsia="Times New Roman" w:hAnsiTheme="majorBidi" w:cstheme="majorBidi"/>
          <w:b/>
          <w:bCs/>
          <w:sz w:val="32"/>
          <w:szCs w:val="32"/>
        </w:rPr>
      </w:pPr>
      <w:r w:rsidRPr="0011555A">
        <w:rPr>
          <w:rFonts w:asciiTheme="majorBidi" w:eastAsia="Times New Roman" w:hAnsiTheme="majorBidi" w:cstheme="majorBidi"/>
          <w:b/>
          <w:bCs/>
          <w:sz w:val="32"/>
          <w:szCs w:val="32"/>
        </w:rPr>
        <w:t>Effectiveness of Wide-Awake Local Anesthesia No tourniquet as a Single Anesthetic Technique in Hand and Wrist Surgeries</w:t>
      </w:r>
    </w:p>
    <w:p w14:paraId="6A0FB1FD" w14:textId="77777777" w:rsidR="00B72928" w:rsidRPr="0011555A" w:rsidRDefault="00B72928" w:rsidP="00794F50">
      <w:pPr>
        <w:spacing w:before="240" w:line="240" w:lineRule="auto"/>
        <w:rPr>
          <w:rFonts w:asciiTheme="majorBidi" w:hAnsiTheme="majorBidi" w:cstheme="majorBidi"/>
          <w:b/>
          <w:bCs/>
          <w:sz w:val="24"/>
          <w:szCs w:val="24"/>
        </w:rPr>
      </w:pPr>
      <w:r w:rsidRPr="0011555A">
        <w:rPr>
          <w:rFonts w:asciiTheme="majorBidi" w:hAnsiTheme="majorBidi" w:cstheme="majorBidi"/>
          <w:b/>
          <w:bCs/>
          <w:sz w:val="24"/>
          <w:szCs w:val="24"/>
        </w:rPr>
        <w:t>Abstract</w:t>
      </w:r>
    </w:p>
    <w:p w14:paraId="772C1B89" w14:textId="1CCFADFF" w:rsidR="00B72928" w:rsidRPr="0011555A" w:rsidRDefault="00B72928" w:rsidP="00725311">
      <w:pPr>
        <w:jc w:val="both"/>
        <w:rPr>
          <w:sz w:val="24"/>
          <w:szCs w:val="24"/>
          <w:rtl/>
        </w:rPr>
      </w:pPr>
      <w:r w:rsidRPr="0011555A">
        <w:rPr>
          <w:rFonts w:asciiTheme="majorBidi" w:hAnsiTheme="majorBidi" w:cstheme="majorBidi"/>
          <w:b/>
          <w:bCs/>
          <w:sz w:val="24"/>
          <w:szCs w:val="24"/>
        </w:rPr>
        <w:t>Background:</w:t>
      </w:r>
      <w:r w:rsidRPr="0011555A">
        <w:rPr>
          <w:rFonts w:asciiTheme="majorBidi" w:hAnsiTheme="majorBidi" w:cstheme="majorBidi"/>
          <w:sz w:val="24"/>
          <w:szCs w:val="24"/>
        </w:rPr>
        <w:t xml:space="preserve"> </w:t>
      </w:r>
      <w:r w:rsidR="007779DD" w:rsidRPr="0011555A">
        <w:rPr>
          <w:rFonts w:asciiTheme="majorBidi" w:hAnsiTheme="majorBidi" w:cstheme="majorBidi"/>
          <w:sz w:val="24"/>
          <w:szCs w:val="24"/>
        </w:rPr>
        <w:t>Wide Awake Local Anesthesia No Tourniquet (WALANT) offers a safe, cost-effective, and patient-friendly alternative to traditional anesthesia in hand and wrist surgeries by eliminating tourniquet discomfort and anesthetic risks.</w:t>
      </w:r>
      <w:r w:rsidR="00F8671D" w:rsidRPr="0011555A">
        <w:rPr>
          <w:rFonts w:asciiTheme="majorBidi" w:hAnsiTheme="majorBidi" w:cstheme="majorBidi"/>
          <w:sz w:val="24"/>
          <w:szCs w:val="24"/>
        </w:rPr>
        <w:t xml:space="preserve"> </w:t>
      </w:r>
      <w:r w:rsidRPr="0011555A">
        <w:rPr>
          <w:rFonts w:asciiTheme="majorBidi" w:hAnsiTheme="majorBidi" w:cstheme="majorBidi"/>
          <w:b/>
          <w:bCs/>
          <w:sz w:val="24"/>
          <w:szCs w:val="24"/>
        </w:rPr>
        <w:t xml:space="preserve">This study aimed to </w:t>
      </w:r>
      <w:r w:rsidR="00582220" w:rsidRPr="0011555A">
        <w:rPr>
          <w:rFonts w:asciiTheme="majorBidi" w:hAnsiTheme="majorBidi" w:cstheme="majorBidi"/>
          <w:sz w:val="24"/>
          <w:szCs w:val="24"/>
        </w:rPr>
        <w:t>evaluate the effectiveness and safety of WALANT as a sole anesthetic technique in elective hand and wrist procedures.</w:t>
      </w:r>
      <w:r w:rsidRPr="0011555A">
        <w:rPr>
          <w:rFonts w:asciiTheme="majorBidi" w:hAnsiTheme="majorBidi" w:cstheme="majorBidi"/>
          <w:sz w:val="24"/>
          <w:szCs w:val="24"/>
        </w:rPr>
        <w:t xml:space="preserve"> </w:t>
      </w:r>
      <w:r w:rsidRPr="0011555A">
        <w:rPr>
          <w:rFonts w:asciiTheme="majorBidi" w:hAnsiTheme="majorBidi" w:cstheme="majorBidi"/>
          <w:b/>
          <w:bCs/>
          <w:sz w:val="24"/>
          <w:szCs w:val="24"/>
        </w:rPr>
        <w:t>Methods:</w:t>
      </w:r>
      <w:r w:rsidRPr="0011555A">
        <w:rPr>
          <w:rFonts w:asciiTheme="majorBidi" w:hAnsiTheme="majorBidi" w:cstheme="majorBidi"/>
          <w:sz w:val="24"/>
          <w:szCs w:val="24"/>
        </w:rPr>
        <w:t xml:space="preserve"> </w:t>
      </w:r>
      <w:r w:rsidR="00AD70B2" w:rsidRPr="0011555A">
        <w:rPr>
          <w:rFonts w:asciiTheme="majorBidi" w:hAnsiTheme="majorBidi" w:cstheme="majorBidi"/>
          <w:sz w:val="24"/>
          <w:szCs w:val="24"/>
        </w:rPr>
        <w:t xml:space="preserve">This </w:t>
      </w:r>
      <w:r w:rsidR="00582220" w:rsidRPr="0011555A">
        <w:rPr>
          <w:rFonts w:asciiTheme="majorBidi" w:hAnsiTheme="majorBidi" w:cstheme="majorBidi"/>
          <w:sz w:val="24"/>
          <w:szCs w:val="24"/>
        </w:rPr>
        <w:t xml:space="preserve">prospective study was conducted on 50 </w:t>
      </w:r>
      <w:r w:rsidR="00C76D9F" w:rsidRPr="0011555A">
        <w:rPr>
          <w:rFonts w:asciiTheme="majorBidi" w:hAnsiTheme="majorBidi" w:cstheme="majorBidi"/>
          <w:sz w:val="24"/>
          <w:szCs w:val="24"/>
        </w:rPr>
        <w:t>American Society of Anesthesiologists (ASA)</w:t>
      </w:r>
      <w:r w:rsidR="00582220" w:rsidRPr="0011555A">
        <w:rPr>
          <w:rFonts w:asciiTheme="majorBidi" w:hAnsiTheme="majorBidi" w:cstheme="majorBidi"/>
          <w:sz w:val="24"/>
          <w:szCs w:val="24"/>
        </w:rPr>
        <w:t xml:space="preserve"> I–III patients undergoing elective hand or wrist surgery at Benha University Hospital. All patients received lidocaine with epinephrine without tourniquet application. Pain (</w:t>
      </w:r>
      <w:r w:rsidR="00C76D9F" w:rsidRPr="0011555A">
        <w:rPr>
          <w:rFonts w:asciiTheme="majorBidi" w:hAnsiTheme="majorBidi" w:cstheme="majorBidi"/>
          <w:sz w:val="24"/>
          <w:szCs w:val="24"/>
        </w:rPr>
        <w:t>Visual Analogue Scale [</w:t>
      </w:r>
      <w:r w:rsidR="00582220" w:rsidRPr="0011555A">
        <w:rPr>
          <w:rFonts w:asciiTheme="majorBidi" w:hAnsiTheme="majorBidi" w:cstheme="majorBidi"/>
          <w:sz w:val="24"/>
          <w:szCs w:val="24"/>
        </w:rPr>
        <w:t>VAS</w:t>
      </w:r>
      <w:r w:rsidR="00C76D9F" w:rsidRPr="0011555A">
        <w:rPr>
          <w:rFonts w:asciiTheme="majorBidi" w:hAnsiTheme="majorBidi" w:cstheme="majorBidi"/>
          <w:sz w:val="24"/>
          <w:szCs w:val="24"/>
        </w:rPr>
        <w:t>]</w:t>
      </w:r>
      <w:r w:rsidR="00582220" w:rsidRPr="0011555A">
        <w:rPr>
          <w:rFonts w:asciiTheme="majorBidi" w:hAnsiTheme="majorBidi" w:cstheme="majorBidi"/>
          <w:sz w:val="24"/>
          <w:szCs w:val="24"/>
        </w:rPr>
        <w:t>), analgesic use, complications, and satisfaction were assessed up to 24 hours postoperatively.</w:t>
      </w:r>
      <w:r w:rsidR="00F73676" w:rsidRPr="0011555A">
        <w:rPr>
          <w:rFonts w:asciiTheme="majorBidi" w:hAnsiTheme="majorBidi" w:cstheme="majorBidi"/>
          <w:sz w:val="24"/>
          <w:szCs w:val="24"/>
        </w:rPr>
        <w:t xml:space="preserve"> </w:t>
      </w:r>
      <w:r w:rsidRPr="0011555A">
        <w:rPr>
          <w:rFonts w:asciiTheme="majorBidi" w:hAnsiTheme="majorBidi" w:cstheme="majorBidi"/>
          <w:b/>
          <w:bCs/>
          <w:sz w:val="24"/>
          <w:szCs w:val="24"/>
        </w:rPr>
        <w:t>Results</w:t>
      </w:r>
      <w:r w:rsidRPr="0011555A">
        <w:rPr>
          <w:rFonts w:asciiTheme="majorBidi" w:hAnsiTheme="majorBidi" w:cstheme="majorBidi"/>
          <w:sz w:val="24"/>
          <w:szCs w:val="24"/>
        </w:rPr>
        <w:t xml:space="preserve">: </w:t>
      </w:r>
      <w:r w:rsidR="0039281A" w:rsidRPr="0011555A">
        <w:rPr>
          <w:rFonts w:asciiTheme="majorBidi" w:hAnsiTheme="majorBidi" w:cstheme="majorBidi"/>
          <w:sz w:val="24"/>
          <w:szCs w:val="24"/>
        </w:rPr>
        <w:t>The median onset of sensory block was 4 ± 1 minutes. Open procedures represented 56% of cases. Median VAS pain scores rose from 1 immediately post-surgery to 4 at 24 hours (p &lt; 0.001). The median time to first analgesia was 2.2 hours, and median 24-hour morphine consumption was 5.7 mg/kg. Analgesic need (74%) and opioid use were significantly higher after open procedures (10.2 mg/kg vs. 0 mg/kg, p &lt; 0.001). Complications were minor (nausea 6%, vomiting 8%), and mean hospital stay was 5 ± 1 hours. Surgeon satisfaction reached 68%, while 58% of patients were satisfied or very satisfied.</w:t>
      </w:r>
      <w:r w:rsidRPr="0011555A">
        <w:rPr>
          <w:rFonts w:asciiTheme="majorBidi" w:hAnsiTheme="majorBidi" w:cstheme="majorBidi"/>
          <w:b/>
          <w:bCs/>
          <w:sz w:val="24"/>
          <w:szCs w:val="24"/>
        </w:rPr>
        <w:t xml:space="preserve"> Conclusion:</w:t>
      </w:r>
      <w:r w:rsidR="009F7C0D" w:rsidRPr="0011555A">
        <w:rPr>
          <w:rFonts w:asciiTheme="majorBidi" w:hAnsiTheme="majorBidi" w:cstheme="majorBidi"/>
          <w:sz w:val="24"/>
          <w:szCs w:val="24"/>
          <w:vertAlign w:val="superscript"/>
        </w:rPr>
        <w:t xml:space="preserve"> </w:t>
      </w:r>
      <w:r w:rsidR="00E440C2" w:rsidRPr="0011555A">
        <w:rPr>
          <w:rFonts w:asciiTheme="majorBidi" w:hAnsiTheme="majorBidi" w:cstheme="majorBidi"/>
          <w:sz w:val="24"/>
          <w:szCs w:val="24"/>
        </w:rPr>
        <w:t xml:space="preserve">WALANT provides effective anesthesia, short hospital </w:t>
      </w:r>
      <w:proofErr w:type="gramStart"/>
      <w:r w:rsidR="00E440C2" w:rsidRPr="0011555A">
        <w:rPr>
          <w:rFonts w:asciiTheme="majorBidi" w:hAnsiTheme="majorBidi" w:cstheme="majorBidi"/>
          <w:sz w:val="24"/>
          <w:szCs w:val="24"/>
        </w:rPr>
        <w:t>stay</w:t>
      </w:r>
      <w:proofErr w:type="gramEnd"/>
      <w:r w:rsidR="00E440C2" w:rsidRPr="0011555A">
        <w:rPr>
          <w:rFonts w:asciiTheme="majorBidi" w:hAnsiTheme="majorBidi" w:cstheme="majorBidi"/>
          <w:sz w:val="24"/>
          <w:szCs w:val="24"/>
        </w:rPr>
        <w:t>, and minimal complications, making it an excellent choice for most elective hand and wrist surgeries, especially minimally invasive cases. Supplemental analgesia may be required for open or prolonged procedures.</w:t>
      </w:r>
    </w:p>
    <w:p w14:paraId="0EE60FD2" w14:textId="6E635CA5" w:rsidR="0080458C" w:rsidRPr="0011555A" w:rsidRDefault="00B72928" w:rsidP="00B72928">
      <w:pPr>
        <w:spacing w:before="240" w:after="0" w:line="240" w:lineRule="auto"/>
        <w:jc w:val="lowKashida"/>
        <w:rPr>
          <w:rFonts w:asciiTheme="majorBidi" w:hAnsiTheme="majorBidi" w:cstheme="majorBidi"/>
          <w:sz w:val="24"/>
          <w:szCs w:val="24"/>
        </w:rPr>
      </w:pPr>
      <w:r w:rsidRPr="0011555A">
        <w:rPr>
          <w:rFonts w:asciiTheme="majorBidi" w:hAnsiTheme="majorBidi" w:cstheme="majorBidi"/>
          <w:b/>
          <w:bCs/>
          <w:sz w:val="24"/>
          <w:szCs w:val="24"/>
        </w:rPr>
        <w:t>Keywords:</w:t>
      </w:r>
      <w:r w:rsidRPr="0011555A">
        <w:t xml:space="preserve"> </w:t>
      </w:r>
      <w:r w:rsidR="00E440C2" w:rsidRPr="0011555A">
        <w:rPr>
          <w:rFonts w:asciiTheme="majorBidi" w:hAnsiTheme="majorBidi" w:cstheme="majorBidi"/>
          <w:sz w:val="24"/>
          <w:szCs w:val="24"/>
        </w:rPr>
        <w:t>WALANT, Hand Surgery, Local Anesthesia, Analgesia, Tourniquet-Free Surgery.</w:t>
      </w:r>
    </w:p>
    <w:p w14:paraId="2AF99A58" w14:textId="684B9207" w:rsidR="0080458C" w:rsidRPr="0011555A" w:rsidRDefault="0080458C" w:rsidP="00ED1E3C">
      <w:pPr>
        <w:spacing w:before="240" w:after="0" w:line="240" w:lineRule="auto"/>
        <w:jc w:val="lowKashida"/>
        <w:rPr>
          <w:rFonts w:asciiTheme="majorBidi" w:hAnsiTheme="majorBidi" w:cstheme="majorBidi"/>
          <w:b/>
          <w:bCs/>
          <w:sz w:val="24"/>
          <w:szCs w:val="24"/>
        </w:rPr>
      </w:pPr>
      <w:r w:rsidRPr="0011555A">
        <w:rPr>
          <w:rFonts w:asciiTheme="majorBidi" w:hAnsiTheme="majorBidi" w:cstheme="majorBidi"/>
          <w:b/>
          <w:bCs/>
          <w:sz w:val="24"/>
          <w:szCs w:val="24"/>
        </w:rPr>
        <w:t>Introduction</w:t>
      </w:r>
      <w:r w:rsidR="00FE5E7D" w:rsidRPr="0011555A">
        <w:rPr>
          <w:rFonts w:asciiTheme="majorBidi" w:hAnsiTheme="majorBidi" w:cstheme="majorBidi"/>
          <w:b/>
          <w:bCs/>
          <w:sz w:val="24"/>
          <w:szCs w:val="24"/>
        </w:rPr>
        <w:t>:</w:t>
      </w:r>
    </w:p>
    <w:p w14:paraId="4FE064F1" w14:textId="57A011AC" w:rsidR="00D63492" w:rsidRPr="0011555A" w:rsidRDefault="00D63492" w:rsidP="00D63492">
      <w:pPr>
        <w:pStyle w:val="P"/>
        <w:rPr>
          <w:lang w:bidi="ar-EG"/>
        </w:rPr>
      </w:pPr>
      <w:r w:rsidRPr="0011555A">
        <w:rPr>
          <w:lang w:bidi="ar-EG"/>
        </w:rPr>
        <w:t xml:space="preserve">Hand surgery is commonly performed under one of three primary types of anesthesia: local, regional, or general. Each technique carries its own advantages and disadvantages. Traditionally, hand surgery involves the use of pneumatic arterial tourniquets (AT) to create a bloodless surgical field and enhance visibility. However, prolonged tourniquet application can lead to significant discomfort or pain, often necessitating the use of general or regional anesthesia to mitigate these effects </w:t>
      </w:r>
      <w:r w:rsidRPr="0011555A">
        <w:fldChar w:fldCharType="begin"/>
      </w:r>
      <w:r w:rsidR="00E73DC5" w:rsidRPr="0011555A">
        <w:instrText xml:space="preserve"> ADDIN EN.CITE &lt;EndNote&gt;&lt;Cite&gt;&lt;Author&gt;Sawhney&lt;/Author&gt;&lt;Year&gt;2024&lt;/Year&gt;&lt;RecNum&gt;66&lt;/RecNum&gt;&lt;DisplayText&gt;&lt;style face="superscript"&gt;[1]&lt;/style&gt;&lt;/DisplayText&gt;&lt;record&gt;&lt;rec-number&gt;66&lt;/rec-number&gt;&lt;foreign-keys&gt;&lt;key app="EN" db-id="w9sv5pfszaepw1e2wd952229e2er5etdrsdt" timestamp="1756386124"&gt;66&lt;/key&gt;&lt;/foreign-keys&gt;&lt;ref-type name="Journal Article"&gt;17&lt;/ref-type&gt;&lt;contributors&gt;&lt;authors&gt;&lt;author&gt;Sawhney, A.&lt;/author&gt;&lt;author&gt;Thacoor, A.&lt;/author&gt;&lt;author&gt;Nagra, R.&lt;/author&gt;&lt;author&gt;Geoghegan, L.&lt;/author&gt;&lt;author&gt;Akhavani, M.&lt;/author&gt;&lt;/authors&gt;&lt;/contributors&gt;&lt;auth-address&gt;From the Department of Plastic, Reconstructive and Burns Surgery, Stoke-Mandeville Hospital, Aylesbury, United Kingdom.&amp;#xD;Department of Plastic and Reconstructive Surgery, St Georges Hospital, London, United Kingdom.&amp;#xD;University College London, Division of Surgery and Interventional Science, London, United Kingdom.&amp;#xD;Section of Vascular Surgery, Department of Surgery and Cancer, Imperial College London, London, United Kingdom.&amp;#xD;Department of Plastic and Reconstructive Surgery, Royal Free Hospital, London, United Kingdom.&lt;/auth-address&gt;&lt;titles&gt;&lt;title&gt;Wide Awake Local Anesthetic No Tourniquet in Hand and Wrist Surgery: Current Concepts, Indications, and Considerations&lt;/title&gt;&lt;secondary-title&gt;Plast Reconstr Surg Glob Open&lt;/secondary-title&gt;&lt;/titles&gt;&lt;periodical&gt;&lt;full-title&gt;Plast Reconstr Surg Glob Open&lt;/full-title&gt;&lt;/periodical&gt;&lt;pages&gt;e5526&lt;/pages&gt;&lt;volume&gt;12&lt;/volume&gt;&lt;number&gt;1&lt;/number&gt;&lt;edition&gt;2024/01/23&lt;/edition&gt;&lt;dates&gt;&lt;year&gt;2024&lt;/year&gt;&lt;pub-dates&gt;&lt;date&gt;Jan&lt;/date&gt;&lt;/pub-dates&gt;&lt;/dates&gt;&lt;isbn&gt;2169-7574 (Print)&amp;#xD;2169-7574&lt;/isbn&gt;&lt;accession-num&gt;38260757&lt;/accession-num&gt;&lt;urls&gt;&lt;/urls&gt;&lt;custom2&gt;PMC10803042 this article.&lt;/custom2&gt;&lt;electronic-resource-num&gt;10.1097/gox.0000000000005526&lt;/electronic-resource-num&gt;&lt;remote-database-provider&gt;NLM&lt;/remote-database-provider&gt;&lt;language&gt;eng&lt;/language&gt;&lt;/record&gt;&lt;/Cite&gt;&lt;/EndNote&gt;</w:instrText>
      </w:r>
      <w:r w:rsidRPr="0011555A">
        <w:fldChar w:fldCharType="separate"/>
      </w:r>
      <w:r w:rsidR="00E73DC5" w:rsidRPr="0011555A">
        <w:rPr>
          <w:noProof/>
          <w:vertAlign w:val="superscript"/>
        </w:rPr>
        <w:t>[1]</w:t>
      </w:r>
      <w:r w:rsidRPr="0011555A">
        <w:fldChar w:fldCharType="end"/>
      </w:r>
      <w:r w:rsidRPr="0011555A">
        <w:t>.</w:t>
      </w:r>
    </w:p>
    <w:p w14:paraId="6E8D43BF" w14:textId="01D53DAA" w:rsidR="00D63492" w:rsidRPr="0011555A" w:rsidRDefault="00D63492" w:rsidP="00D63492">
      <w:pPr>
        <w:pStyle w:val="P"/>
        <w:rPr>
          <w:lang w:bidi="ar-EG"/>
        </w:rPr>
      </w:pPr>
      <w:r w:rsidRPr="0011555A">
        <w:rPr>
          <w:lang w:bidi="ar-EG"/>
        </w:rPr>
        <w:t xml:space="preserve">Wide Awake Local Anesthesia No Tourniquet (WALANT) is an innovative technique that combines local anesthetics with epinephrine to achieve both anesthesia and hemostasis without the need for a tourniquet. The advantages of WALANT are numerous and include intraoperative patient participation, avoidance of general anesthesia, and elimination of tourniquet-associated pain. The technique has recently gained popularity in hand and wrist procedures. In partial wrist fusion surgeries, WALANT is particularly </w:t>
      </w:r>
      <w:r w:rsidRPr="0011555A">
        <w:rPr>
          <w:lang w:bidi="ar-EG"/>
        </w:rPr>
        <w:lastRenderedPageBreak/>
        <w:t xml:space="preserve">advantageous, allowing for precise intraoperative evaluation of bone alignment and wrist mechanics, which is crucial for achieving optimal surgical outcomes </w:t>
      </w:r>
      <w:r w:rsidRPr="0011555A">
        <w:rPr>
          <w:lang w:bidi="ar-EG"/>
        </w:rPr>
        <w:fldChar w:fldCharType="begin"/>
      </w:r>
      <w:r w:rsidR="00E73DC5" w:rsidRPr="0011555A">
        <w:rPr>
          <w:lang w:bidi="ar-EG"/>
        </w:rPr>
        <w:instrText xml:space="preserve"> ADDIN EN.CITE &lt;EndNote&gt;&lt;Cite&gt;&lt;Author&gt;Degreef&lt;/Author&gt;&lt;Year&gt;2024&lt;/Year&gt;&lt;RecNum&gt;73&lt;/RecNum&gt;&lt;DisplayText&gt;&lt;style face="superscript"&gt;[2]&lt;/style&gt;&lt;/DisplayText&gt;&lt;record&gt;&lt;rec-number&gt;73&lt;/rec-number&gt;&lt;foreign-keys&gt;&lt;key app="EN" db-id="w9sv5pfszaepw1e2wd952229e2er5etdrsdt" timestamp="1756387971"&gt;73&lt;/key&gt;&lt;/foreign-keys&gt;&lt;ref-type name="Journal Article"&gt;17&lt;/ref-type&gt;&lt;contributors&gt;&lt;authors&gt;&lt;author&gt;Degreef, I.&lt;/author&gt;&lt;author&gt;Lalonde, D. H.&lt;/author&gt;&lt;/authors&gt;&lt;/contributors&gt;&lt;auth-address&gt;Department of Orthopaedic, Hand Unit, Leuven University Hospitals, Gasthuisberg, Herestraat, Leuven, Belgium.&amp;#xD;Division of Plastic Surgery, Dalhousie University, Saint John, New Brunswick, Canada.&lt;/auth-address&gt;&lt;titles&gt;&lt;title&gt;WALANT surgery of the hand: state of the art&lt;/title&gt;&lt;secondary-title&gt;EFORT Open Rev&lt;/secondary-title&gt;&lt;/titles&gt;&lt;periodical&gt;&lt;full-title&gt;EFORT Open Rev&lt;/full-title&gt;&lt;/periodical&gt;&lt;pages&gt;349-356&lt;/pages&gt;&lt;volume&gt;9&lt;/volume&gt;&lt;number&gt;5&lt;/number&gt;&lt;edition&gt;2024/05/10&lt;/edition&gt;&lt;keywords&gt;&lt;keyword&gt;Dupuytren&lt;/keyword&gt;&lt;keyword&gt;Walant&lt;/keyword&gt;&lt;keyword&gt;hand&lt;/keyword&gt;&lt;keyword&gt;surgery&lt;/keyword&gt;&lt;keyword&gt;tendon&lt;/keyword&gt;&lt;keyword&gt;tourniquet&lt;/keyword&gt;&lt;keyword&gt;as prejudicing the impartiality of this instructional lecture.&lt;/keyword&gt;&lt;/keywords&gt;&lt;dates&gt;&lt;year&gt;2024&lt;/year&gt;&lt;pub-dates&gt;&lt;date&gt;May 10&lt;/date&gt;&lt;/pub-dates&gt;&lt;/dates&gt;&lt;isbn&gt;2058-5241 (Print)&amp;#xD;2058-5241&lt;/isbn&gt;&lt;accession-num&gt;38726975&lt;/accession-num&gt;&lt;urls&gt;&lt;/urls&gt;&lt;custom2&gt;PMC11099575&lt;/custom2&gt;&lt;electronic-resource-num&gt;10.1530/eor-24-0033&lt;/electronic-resource-num&gt;&lt;remote-database-provider&gt;NLM&lt;/remote-database-provider&gt;&lt;language&gt;eng&lt;/language&gt;&lt;/record&gt;&lt;/Cite&gt;&lt;/EndNote&gt;</w:instrText>
      </w:r>
      <w:r w:rsidRPr="0011555A">
        <w:rPr>
          <w:lang w:bidi="ar-EG"/>
        </w:rPr>
        <w:fldChar w:fldCharType="separate"/>
      </w:r>
      <w:r w:rsidR="00E73DC5" w:rsidRPr="0011555A">
        <w:rPr>
          <w:noProof/>
          <w:vertAlign w:val="superscript"/>
          <w:lang w:bidi="ar-EG"/>
        </w:rPr>
        <w:t>[2]</w:t>
      </w:r>
      <w:r w:rsidRPr="0011555A">
        <w:rPr>
          <w:lang w:bidi="ar-EG"/>
        </w:rPr>
        <w:fldChar w:fldCharType="end"/>
      </w:r>
      <w:r w:rsidRPr="0011555A">
        <w:rPr>
          <w:lang w:bidi="ar-EG"/>
        </w:rPr>
        <w:t>.</w:t>
      </w:r>
    </w:p>
    <w:p w14:paraId="3C6CDA31" w14:textId="3581D12E" w:rsidR="00D63492" w:rsidRPr="0011555A" w:rsidRDefault="00D63492" w:rsidP="00D63492">
      <w:pPr>
        <w:pStyle w:val="P"/>
        <w:rPr>
          <w:lang w:bidi="ar-EG"/>
        </w:rPr>
      </w:pPr>
      <w:r w:rsidRPr="0011555A">
        <w:rPr>
          <w:lang w:bidi="ar-EG"/>
        </w:rPr>
        <w:t xml:space="preserve">WALANT also minimizes the need for anesthesia personnel, reduces the cost of anesthetic equipment, and eliminates the requirement for a fully equipped operating theater. Many hand procedures can be performed safely and efficiently in minor procedure rooms </w:t>
      </w:r>
      <w:r w:rsidRPr="0011555A">
        <w:rPr>
          <w:lang w:bidi="ar-EG"/>
        </w:rPr>
        <w:fldChar w:fldCharType="begin"/>
      </w:r>
      <w:r w:rsidR="00E73DC5" w:rsidRPr="0011555A">
        <w:rPr>
          <w:lang w:bidi="ar-EG"/>
        </w:rPr>
        <w:instrText xml:space="preserve"> ADDIN EN.CITE &lt;EndNote&gt;&lt;Cite&gt;&lt;Author&gt;Maliha&lt;/Author&gt;&lt;Year&gt;2019&lt;/Year&gt;&lt;RecNum&gt;84&lt;/RecNum&gt;&lt;DisplayText&gt;&lt;style face="superscript"&gt;[3]&lt;/style&gt;&lt;/DisplayText&gt;&lt;record&gt;&lt;rec-number&gt;84&lt;/rec-number&gt;&lt;foreign-keys&gt;&lt;key app="EN" db-id="w9sv5pfszaepw1e2wd952229e2er5etdrsdt" timestamp="1756398031"&gt;84&lt;/key&gt;&lt;/foreign-keys&gt;&lt;ref-type name="Journal Article"&gt;17&lt;/ref-type&gt;&lt;contributors&gt;&lt;authors&gt;&lt;author&gt;Maliha, S. G.&lt;/author&gt;&lt;author&gt;Cohen, O.&lt;/author&gt;&lt;author&gt;Jacoby, A.&lt;/author&gt;&lt;author&gt;Sharma, S.&lt;/author&gt;&lt;/authors&gt;&lt;/contributors&gt;&lt;auth-address&gt;UPMC Department of Plastic Surgery, University of Pittsburgh Medical Center, Pittsburgh, Pa.&amp;#xD;Hansjörg Wyss Department of Plastic Surgery, NYU Langone Health, New York, NY.&amp;#xD;New York University School of Medicine, New York, NY.&lt;/auth-address&gt;&lt;titles&gt;&lt;title&gt;A Cost and Efficiency Analysis of the WALANT Technique for the Management of Trigger Finger in a Procedure Room of a Major City Hospital&lt;/title&gt;&lt;secondary-title&gt;Plast Reconstr Surg Glob Open&lt;/secondary-title&gt;&lt;/titles&gt;&lt;periodical&gt;&lt;full-title&gt;Plast Reconstr Surg Glob Open&lt;/full-title&gt;&lt;/periodical&gt;&lt;pages&gt;e2509&lt;/pages&gt;&lt;volume&gt;7&lt;/volume&gt;&lt;number&gt;11&lt;/number&gt;&lt;edition&gt;2020/01/17&lt;/edition&gt;&lt;dates&gt;&lt;year&gt;2019&lt;/year&gt;&lt;pub-dates&gt;&lt;date&gt;Nov&lt;/date&gt;&lt;/pub-dates&gt;&lt;/dates&gt;&lt;isbn&gt;2169-7574 (Print)&amp;#xD;2169-7574&lt;/isbn&gt;&lt;accession-num&gt;31942301&lt;/accession-num&gt;&lt;urls&gt;&lt;/urls&gt;&lt;custom2&gt;PMC6908359&lt;/custom2&gt;&lt;electronic-resource-num&gt;10.1097/gox.0000000000002509&lt;/electronic-resource-num&gt;&lt;remote-database-provider&gt;NLM&lt;/remote-database-provider&gt;&lt;language&gt;eng&lt;/language&gt;&lt;/record&gt;&lt;/Cite&gt;&lt;/EndNote&gt;</w:instrText>
      </w:r>
      <w:r w:rsidRPr="0011555A">
        <w:rPr>
          <w:lang w:bidi="ar-EG"/>
        </w:rPr>
        <w:fldChar w:fldCharType="separate"/>
      </w:r>
      <w:r w:rsidR="00E73DC5" w:rsidRPr="0011555A">
        <w:rPr>
          <w:noProof/>
          <w:vertAlign w:val="superscript"/>
          <w:lang w:bidi="ar-EG"/>
        </w:rPr>
        <w:t>[3]</w:t>
      </w:r>
      <w:r w:rsidRPr="0011555A">
        <w:rPr>
          <w:lang w:bidi="ar-EG"/>
        </w:rPr>
        <w:fldChar w:fldCharType="end"/>
      </w:r>
      <w:r w:rsidRPr="0011555A">
        <w:rPr>
          <w:lang w:bidi="ar-EG"/>
        </w:rPr>
        <w:t xml:space="preserve">. The ability to conduct surgeries in an outpatient setting is a key benefit of WALANT, as it decreases hospitalization rates, lowers overall healthcare costs, and enables faster patient recovery. Additionally, by avoiding the risks associated with general anesthesia such as respiratory complications and prolonged recovery WALANT makes surgery more accessible and safer for a broader range of patients </w:t>
      </w:r>
      <w:r w:rsidRPr="0011555A">
        <w:rPr>
          <w:lang w:bidi="ar-EG"/>
        </w:rPr>
        <w:fldChar w:fldCharType="begin"/>
      </w:r>
      <w:r w:rsidR="00E73DC5" w:rsidRPr="0011555A">
        <w:rPr>
          <w:lang w:bidi="ar-EG"/>
        </w:rPr>
        <w:instrText xml:space="preserve"> ADDIN EN.CITE &lt;EndNote&gt;&lt;Cite&gt;&lt;Author&gt;Degreef&lt;/Author&gt;&lt;Year&gt;2024&lt;/Year&gt;&lt;RecNum&gt;73&lt;/RecNum&gt;&lt;DisplayText&gt;&lt;style face="superscript"&gt;[2]&lt;/style&gt;&lt;/DisplayText&gt;&lt;record&gt;&lt;rec-number&gt;73&lt;/rec-number&gt;&lt;foreign-keys&gt;&lt;key app="EN" db-id="w9sv5pfszaepw1e2wd952229e2er5etdrsdt" timestamp="1756387971"&gt;73&lt;/key&gt;&lt;/foreign-keys&gt;&lt;ref-type name="Journal Article"&gt;17&lt;/ref-type&gt;&lt;contributors&gt;&lt;authors&gt;&lt;author&gt;Degreef, I.&lt;/author&gt;&lt;author&gt;Lalonde, D. H.&lt;/author&gt;&lt;/authors&gt;&lt;/contributors&gt;&lt;auth-address&gt;Department of Orthopaedic, Hand Unit, Leuven University Hospitals, Gasthuisberg, Herestraat, Leuven, Belgium.&amp;#xD;Division of Plastic Surgery, Dalhousie University, Saint John, New Brunswick, Canada.&lt;/auth-address&gt;&lt;titles&gt;&lt;title&gt;WALANT surgery of the hand: state of the art&lt;/title&gt;&lt;secondary-title&gt;EFORT Open Rev&lt;/secondary-title&gt;&lt;/titles&gt;&lt;periodical&gt;&lt;full-title&gt;EFORT Open Rev&lt;/full-title&gt;&lt;/periodical&gt;&lt;pages&gt;349-356&lt;/pages&gt;&lt;volume&gt;9&lt;/volume&gt;&lt;number&gt;5&lt;/number&gt;&lt;edition&gt;2024/05/10&lt;/edition&gt;&lt;keywords&gt;&lt;keyword&gt;Dupuytren&lt;/keyword&gt;&lt;keyword&gt;Walant&lt;/keyword&gt;&lt;keyword&gt;hand&lt;/keyword&gt;&lt;keyword&gt;surgery&lt;/keyword&gt;&lt;keyword&gt;tendon&lt;/keyword&gt;&lt;keyword&gt;tourniquet&lt;/keyword&gt;&lt;keyword&gt;as prejudicing the impartiality of this instructional lecture.&lt;/keyword&gt;&lt;/keywords&gt;&lt;dates&gt;&lt;year&gt;2024&lt;/year&gt;&lt;pub-dates&gt;&lt;date&gt;May 10&lt;/date&gt;&lt;/pub-dates&gt;&lt;/dates&gt;&lt;isbn&gt;2058-5241 (Print)&amp;#xD;2058-5241&lt;/isbn&gt;&lt;accession-num&gt;38726975&lt;/accession-num&gt;&lt;urls&gt;&lt;/urls&gt;&lt;custom2&gt;PMC11099575&lt;/custom2&gt;&lt;electronic-resource-num&gt;10.1530/eor-24-0033&lt;/electronic-resource-num&gt;&lt;remote-database-provider&gt;NLM&lt;/remote-database-provider&gt;&lt;language&gt;eng&lt;/language&gt;&lt;/record&gt;&lt;/Cite&gt;&lt;/EndNote&gt;</w:instrText>
      </w:r>
      <w:r w:rsidRPr="0011555A">
        <w:rPr>
          <w:lang w:bidi="ar-EG"/>
        </w:rPr>
        <w:fldChar w:fldCharType="separate"/>
      </w:r>
      <w:r w:rsidR="00E73DC5" w:rsidRPr="0011555A">
        <w:rPr>
          <w:noProof/>
          <w:vertAlign w:val="superscript"/>
          <w:lang w:bidi="ar-EG"/>
        </w:rPr>
        <w:t>[2]</w:t>
      </w:r>
      <w:r w:rsidRPr="0011555A">
        <w:rPr>
          <w:lang w:bidi="ar-EG"/>
        </w:rPr>
        <w:fldChar w:fldCharType="end"/>
      </w:r>
      <w:r w:rsidRPr="0011555A">
        <w:rPr>
          <w:lang w:bidi="ar-EG"/>
        </w:rPr>
        <w:t>.</w:t>
      </w:r>
    </w:p>
    <w:p w14:paraId="36FB618B" w14:textId="058F0DB1" w:rsidR="00D63492" w:rsidRPr="0011555A" w:rsidRDefault="00D63492" w:rsidP="00D63492">
      <w:pPr>
        <w:pStyle w:val="P"/>
        <w:rPr>
          <w:lang w:bidi="ar-EG"/>
        </w:rPr>
      </w:pPr>
      <w:r w:rsidRPr="0011555A">
        <w:rPr>
          <w:lang w:bidi="ar-EG"/>
        </w:rPr>
        <w:t xml:space="preserve">Despite these advantages, the WALANT technique necessitates careful patient selection and precise administration to ensure safety and efficacy. The dosage and administration of local anesthetics combined with epinephrine must be meticulously managed to prevent complications such as systemic toxicity or inadequate anesthesia. Furthermore, WALANT may not be suitable for all patients, particularly those with severe anxiety or certain comorbid conditions. Therefore, it is essential that surgeons thoroughly understand the technique and are prepared to manage any intraoperative challenges that may arise </w:t>
      </w:r>
      <w:r w:rsidRPr="0011555A">
        <w:rPr>
          <w:lang w:bidi="ar-EG"/>
        </w:rPr>
        <w:fldChar w:fldCharType="begin"/>
      </w:r>
      <w:r w:rsidR="00E73DC5" w:rsidRPr="0011555A">
        <w:rPr>
          <w:lang w:bidi="ar-EG"/>
        </w:rPr>
        <w:instrText xml:space="preserve"> ADDIN EN.CITE &lt;EndNote&gt;&lt;Cite&gt;&lt;Author&gt;Koch&lt;/Author&gt;&lt;Year&gt;2022&lt;/Year&gt;&lt;RecNum&gt;85&lt;/RecNum&gt;&lt;DisplayText&gt;&lt;style face="superscript"&gt;[4]&lt;/style&gt;&lt;/DisplayText&gt;&lt;record&gt;&lt;rec-number&gt;85&lt;/rec-number&gt;&lt;foreign-keys&gt;&lt;key app="EN" db-id="w9sv5pfszaepw1e2wd952229e2er5etdrsdt" timestamp="1756398080"&gt;85&lt;/key&gt;&lt;/foreign-keys&gt;&lt;ref-type name="Journal Article"&gt;17&lt;/ref-type&gt;&lt;contributors&gt;&lt;authors&gt;&lt;author&gt;Koch, O.&lt;/author&gt;&lt;/authors&gt;&lt;/contributors&gt;&lt;auth-address&gt;Department of Orthopaedic Surgery, 1 Military Hospital, South African Military Health Service, Pretoria, South Africa.&lt;/auth-address&gt;&lt;titles&gt;&lt;title&gt;How to Start WALANT Practice in South Africa: &amp;quot;Service With a Smile if You Are Willing to Wait Awhile.&amp;quot;&lt;/title&gt;&lt;secondary-title&gt;J Hand Surg Glob Online&lt;/secondary-title&gt;&lt;/titles&gt;&lt;periodical&gt;&lt;full-title&gt;J Hand Surg Glob Online&lt;/full-title&gt;&lt;/periodical&gt;&lt;pages&gt;467-470&lt;/pages&gt;&lt;volume&gt;4&lt;/volume&gt;&lt;number&gt;6&lt;/number&gt;&lt;edition&gt;2022/11/26&lt;/edition&gt;&lt;keywords&gt;&lt;keyword&gt;Cost effectiveness&lt;/keyword&gt;&lt;keyword&gt;Pandemic&lt;/keyword&gt;&lt;keyword&gt;Patient experience&lt;/keyword&gt;&lt;keyword&gt;Walant&lt;/keyword&gt;&lt;keyword&gt;Wide-awake hand surgery&lt;/keyword&gt;&lt;/keywords&gt;&lt;dates&gt;&lt;year&gt;2022&lt;/year&gt;&lt;pub-dates&gt;&lt;date&gt;Nov&lt;/date&gt;&lt;/pub-dates&gt;&lt;/dates&gt;&lt;isbn&gt;2589-5141&lt;/isbn&gt;&lt;accession-num&gt;36425378&lt;/accession-num&gt;&lt;urls&gt;&lt;/urls&gt;&lt;custom2&gt;PMC9678687&lt;/custom2&gt;&lt;electronic-resource-num&gt;10.1016/j.jhsg.2022.05.010&lt;/electronic-resource-num&gt;&lt;remote-database-provider&gt;NLM&lt;/remote-database-provider&gt;&lt;language&gt;eng&lt;/language&gt;&lt;/record&gt;&lt;/Cite&gt;&lt;/EndNote&gt;</w:instrText>
      </w:r>
      <w:r w:rsidRPr="0011555A">
        <w:rPr>
          <w:lang w:bidi="ar-EG"/>
        </w:rPr>
        <w:fldChar w:fldCharType="separate"/>
      </w:r>
      <w:r w:rsidR="00E73DC5" w:rsidRPr="0011555A">
        <w:rPr>
          <w:noProof/>
          <w:vertAlign w:val="superscript"/>
          <w:lang w:bidi="ar-EG"/>
        </w:rPr>
        <w:t>[4]</w:t>
      </w:r>
      <w:r w:rsidRPr="0011555A">
        <w:rPr>
          <w:lang w:bidi="ar-EG"/>
        </w:rPr>
        <w:fldChar w:fldCharType="end"/>
      </w:r>
      <w:r w:rsidRPr="0011555A">
        <w:rPr>
          <w:lang w:bidi="ar-EG"/>
        </w:rPr>
        <w:t>.</w:t>
      </w:r>
    </w:p>
    <w:p w14:paraId="3EF438EF" w14:textId="617E29FA" w:rsidR="004E1DDE" w:rsidRPr="0011555A" w:rsidRDefault="00D63492" w:rsidP="00D63492">
      <w:pPr>
        <w:pStyle w:val="P"/>
      </w:pPr>
      <w:r w:rsidRPr="0011555A">
        <w:rPr>
          <w:lang w:bidi="ar-EG"/>
        </w:rPr>
        <w:t xml:space="preserve">WALANT represents a significant advancement in hand and wrist surgery, offering a safer, more cost-effective, and patient-friendly alternative to conventional anesthetic approaches. Its capacity for real-time intraoperative feedback and correction enhances surgical precision and has the potential to significantly improve patient outcomes and satisfaction </w:t>
      </w:r>
      <w:r w:rsidRPr="0011555A">
        <w:rPr>
          <w:lang w:bidi="ar-EG"/>
        </w:rPr>
        <w:fldChar w:fldCharType="begin"/>
      </w:r>
      <w:r w:rsidR="00E73DC5" w:rsidRPr="0011555A">
        <w:rPr>
          <w:lang w:bidi="ar-EG"/>
        </w:rPr>
        <w:instrText xml:space="preserve"> ADDIN EN.CITE &lt;EndNote&gt;&lt;Cite&gt;&lt;Author&gt;Ahmad&lt;/Author&gt;&lt;Year&gt;2025&lt;/Year&gt;&lt;RecNum&gt;86&lt;/RecNum&gt;&lt;DisplayText&gt;&lt;style face="superscript"&gt;[5]&lt;/style&gt;&lt;/DisplayText&gt;&lt;record&gt;&lt;rec-number&gt;86&lt;/rec-number&gt;&lt;foreign-keys&gt;&lt;key app="EN" db-id="w9sv5pfszaepw1e2wd952229e2er5etdrsdt" timestamp="1756398121"&gt;86&lt;/key&gt;&lt;/foreign-keys&gt;&lt;ref-type name="Journal Article"&gt;17&lt;/ref-type&gt;&lt;contributors&gt;&lt;authors&gt;&lt;author&gt;Ahmad, A. A.&lt;/author&gt;&lt;author&gt;Lalonde, D. H.&lt;/author&gt;&lt;/authors&gt;&lt;/contributors&gt;&lt;auth-address&gt;Prince Court Medical Centre, Kuala Lumpur, Malaysia. amir_adham@yahoo.com.&amp;#xD;Dalhousie University, Halifax, Canada.&lt;/auth-address&gt;&lt;titles&gt;&lt;title&gt;State-of-the-art review: The advantage and use of Wide Awake Local Anaesthesia No Tourniquet (WALANT) for nerve decompression surgery&lt;/title&gt;&lt;secondary-title&gt;Int Orthop&lt;/secondary-title&gt;&lt;/titles&gt;&lt;periodical&gt;&lt;full-title&gt;Int Orthop&lt;/full-title&gt;&lt;/periodical&gt;&lt;pages&gt;959-963&lt;/pages&gt;&lt;volume&gt;49&lt;/volume&gt;&lt;number&gt;4&lt;/number&gt;&lt;edition&gt;2025/02/14&lt;/edition&gt;&lt;keywords&gt;&lt;keyword&gt;Humans&lt;/keyword&gt;&lt;keyword&gt;*Anesthesia, Local/methods&lt;/keyword&gt;&lt;keyword&gt;*Decompression, Surgical/methods&lt;/keyword&gt;&lt;keyword&gt;*Anesthetics, Local/administration &amp;amp; dosage&lt;/keyword&gt;&lt;keyword&gt;Lidocaine/administration &amp;amp; dosage&lt;/keyword&gt;&lt;keyword&gt;Tourniquets&lt;/keyword&gt;&lt;keyword&gt;Epinephrine/administration &amp;amp; dosage&lt;/keyword&gt;&lt;keyword&gt;Injection technique&lt;/keyword&gt;&lt;keyword&gt;Local anesthesia&lt;/keyword&gt;&lt;keyword&gt;Nerve decompression&lt;/keyword&gt;&lt;keyword&gt;WALANT&lt;/keyword&gt;&lt;keyword&gt;declare no competing interests.&lt;/keyword&gt;&lt;/keywords&gt;&lt;dates&gt;&lt;year&gt;2025&lt;/year&gt;&lt;pub-dates&gt;&lt;date&gt;Apr&lt;/date&gt;&lt;/pub-dates&gt;&lt;/dates&gt;&lt;isbn&gt;0341-2695&lt;/isbn&gt;&lt;accession-num&gt;39951053&lt;/accession-num&gt;&lt;urls&gt;&lt;/urls&gt;&lt;electronic-resource-num&gt;10.1007/s00264-025-06432-4&lt;/electronic-resource-num&gt;&lt;remote-database-provider&gt;NLM&lt;/remote-database-provider&gt;&lt;language&gt;eng&lt;/language&gt;&lt;/record&gt;&lt;/Cite&gt;&lt;/EndNote&gt;</w:instrText>
      </w:r>
      <w:r w:rsidRPr="0011555A">
        <w:rPr>
          <w:lang w:bidi="ar-EG"/>
        </w:rPr>
        <w:fldChar w:fldCharType="separate"/>
      </w:r>
      <w:r w:rsidR="00E73DC5" w:rsidRPr="0011555A">
        <w:rPr>
          <w:noProof/>
          <w:vertAlign w:val="superscript"/>
          <w:lang w:bidi="ar-EG"/>
        </w:rPr>
        <w:t>[5]</w:t>
      </w:r>
      <w:r w:rsidRPr="0011555A">
        <w:rPr>
          <w:lang w:bidi="ar-EG"/>
        </w:rPr>
        <w:fldChar w:fldCharType="end"/>
      </w:r>
      <w:r w:rsidRPr="0011555A">
        <w:rPr>
          <w:lang w:bidi="ar-EG"/>
        </w:rPr>
        <w:t>.</w:t>
      </w:r>
    </w:p>
    <w:p w14:paraId="0DB657F8" w14:textId="33746DE5" w:rsidR="00A11610" w:rsidRPr="0011555A" w:rsidRDefault="00A84EFC" w:rsidP="00504451">
      <w:pPr>
        <w:pStyle w:val="P"/>
      </w:pPr>
      <w:r w:rsidRPr="0011555A">
        <w:t xml:space="preserve">The purpose of this study was to </w:t>
      </w:r>
      <w:r w:rsidR="00CE3169" w:rsidRPr="0011555A">
        <w:t>evaluate the effectiveness and safety of the WALANT technique in hand and wrist surgeries. It specifically seeks to evaluate patient outcomes, including pain control, functional recovery, and complication rates of this technique.</w:t>
      </w:r>
    </w:p>
    <w:p w14:paraId="63BDC76F" w14:textId="362E0118" w:rsidR="007C4AF4" w:rsidRPr="0011555A" w:rsidRDefault="007C4AF4" w:rsidP="00ED1E3C">
      <w:pPr>
        <w:spacing w:before="240" w:after="0" w:line="240" w:lineRule="auto"/>
        <w:jc w:val="lowKashida"/>
        <w:rPr>
          <w:rFonts w:asciiTheme="majorBidi" w:hAnsiTheme="majorBidi" w:cstheme="majorBidi"/>
          <w:b/>
          <w:bCs/>
          <w:sz w:val="24"/>
          <w:szCs w:val="24"/>
        </w:rPr>
      </w:pPr>
      <w:r w:rsidRPr="0011555A">
        <w:rPr>
          <w:rFonts w:asciiTheme="majorBidi" w:hAnsiTheme="majorBidi" w:cstheme="majorBidi"/>
          <w:b/>
          <w:bCs/>
          <w:sz w:val="24"/>
          <w:szCs w:val="24"/>
        </w:rPr>
        <w:t>Patients and methods</w:t>
      </w:r>
      <w:r w:rsidR="00FE5E7D" w:rsidRPr="0011555A">
        <w:rPr>
          <w:rFonts w:asciiTheme="majorBidi" w:hAnsiTheme="majorBidi" w:cstheme="majorBidi"/>
          <w:b/>
          <w:bCs/>
          <w:sz w:val="24"/>
          <w:szCs w:val="24"/>
        </w:rPr>
        <w:t>:</w:t>
      </w:r>
    </w:p>
    <w:p w14:paraId="6CF2C143" w14:textId="0D65AC4C" w:rsidR="00D30145" w:rsidRPr="0011555A" w:rsidRDefault="00D30145" w:rsidP="00504451">
      <w:pPr>
        <w:pStyle w:val="P"/>
        <w:ind w:firstLine="0"/>
        <w:rPr>
          <w:b/>
          <w:bCs/>
        </w:rPr>
      </w:pPr>
      <w:r w:rsidRPr="0011555A">
        <w:rPr>
          <w:b/>
          <w:bCs/>
        </w:rPr>
        <w:t>Patients:</w:t>
      </w:r>
    </w:p>
    <w:p w14:paraId="4FB23D96" w14:textId="76218752" w:rsidR="000C5FCB" w:rsidRPr="0011555A" w:rsidRDefault="00596262" w:rsidP="00504451">
      <w:pPr>
        <w:pStyle w:val="P"/>
      </w:pPr>
      <w:r w:rsidRPr="0011555A">
        <w:t xml:space="preserve">This prospective study was conducted at the Anesthesia and ICU Department, Benha University Hospital, over a period of six months </w:t>
      </w:r>
      <w:r w:rsidR="00462139">
        <w:t xml:space="preserve">from </w:t>
      </w:r>
      <w:r w:rsidR="003F28F3">
        <w:t xml:space="preserve">October 2024 to </w:t>
      </w:r>
      <w:r w:rsidR="002A02C5">
        <w:t>April 2025</w:t>
      </w:r>
      <w:r w:rsidRPr="0011555A">
        <w:t>. It included patients classified as American Society of Anesthesiologists (ASA) I–III who were scheduled for elective hand and wrist surgery.</w:t>
      </w:r>
    </w:p>
    <w:p w14:paraId="03F18F51" w14:textId="6ABFA665" w:rsidR="000C5FCB" w:rsidRPr="0011555A" w:rsidRDefault="000C5FCB" w:rsidP="00504451">
      <w:pPr>
        <w:pStyle w:val="P"/>
      </w:pPr>
      <w:r w:rsidRPr="0011555A">
        <w:t>An informed written consent was obtained from the patients. Every patient received an explanation of the purpose of the study and had a secret code number. The study was done after being approved by the Research Ethics Committee, Faculty of Medicine, Benha University</w:t>
      </w:r>
      <w:r w:rsidR="007432E5">
        <w:t xml:space="preserve"> (Approval code: </w:t>
      </w:r>
      <w:r w:rsidR="00803ADA">
        <w:t>M</w:t>
      </w:r>
      <w:r w:rsidR="002F0265">
        <w:t>S18-9-2024)</w:t>
      </w:r>
      <w:r w:rsidRPr="0011555A">
        <w:t>.</w:t>
      </w:r>
    </w:p>
    <w:p w14:paraId="275181DA" w14:textId="70F69379" w:rsidR="00E73DC5" w:rsidRPr="0011555A" w:rsidRDefault="000C5FCB" w:rsidP="00E73DC5">
      <w:pPr>
        <w:pStyle w:val="P"/>
      </w:pPr>
      <w:r w:rsidRPr="0011555A">
        <w:rPr>
          <w:b/>
          <w:bCs/>
        </w:rPr>
        <w:t xml:space="preserve">Inclusion criteria were </w:t>
      </w:r>
      <w:r w:rsidR="00E73DC5" w:rsidRPr="0011555A">
        <w:t xml:space="preserve">patients aged 18–70 years scheduled for elective hand or wrist surgery amenable to WALANT technique were eligible. Patients with medical </w:t>
      </w:r>
      <w:r w:rsidR="00E73DC5" w:rsidRPr="0011555A">
        <w:lastRenderedPageBreak/>
        <w:t xml:space="preserve">comorbidities </w:t>
      </w:r>
      <w:proofErr w:type="gramStart"/>
      <w:r w:rsidR="00E73DC5" w:rsidRPr="0011555A">
        <w:t>increasing</w:t>
      </w:r>
      <w:proofErr w:type="gramEnd"/>
      <w:r w:rsidR="00E73DC5" w:rsidRPr="0011555A">
        <w:t xml:space="preserve"> anesthesia risk, including congestive heart failure and obstructive sleep apnea, and those with tourniquet contraindications such as end-stage renal disease with arteriovenous fistula were included. Additionally, patients with poor healthcare access or residing in resource-limited or remote settings were eligible.</w:t>
      </w:r>
    </w:p>
    <w:p w14:paraId="6513D883" w14:textId="2A2D304E" w:rsidR="000C5FCB" w:rsidRPr="0011555A" w:rsidRDefault="00E73DC5" w:rsidP="00E73DC5">
      <w:pPr>
        <w:pStyle w:val="P"/>
        <w:rPr>
          <w:rFonts w:eastAsia="Times New Roman"/>
        </w:rPr>
      </w:pPr>
      <w:r w:rsidRPr="0011555A">
        <w:rPr>
          <w:b/>
          <w:bCs/>
        </w:rPr>
        <w:t xml:space="preserve">Exclusion </w:t>
      </w:r>
      <w:r w:rsidR="006B42E8" w:rsidRPr="0011555A">
        <w:rPr>
          <w:b/>
          <w:bCs/>
        </w:rPr>
        <w:t>c</w:t>
      </w:r>
      <w:r w:rsidRPr="0011555A">
        <w:rPr>
          <w:b/>
          <w:bCs/>
        </w:rPr>
        <w:t>riteria</w:t>
      </w:r>
      <w:r w:rsidR="006B42E8" w:rsidRPr="0011555A">
        <w:rPr>
          <w:b/>
          <w:bCs/>
        </w:rPr>
        <w:t xml:space="preserve"> were</w:t>
      </w:r>
      <w:r w:rsidR="006B42E8" w:rsidRPr="0011555A">
        <w:t xml:space="preserve"> divided </w:t>
      </w:r>
      <w:r w:rsidR="00C76D9F" w:rsidRPr="0011555A">
        <w:t>into</w:t>
      </w:r>
      <w:r w:rsidR="006B42E8" w:rsidRPr="0011555A">
        <w:t xml:space="preserve"> a</w:t>
      </w:r>
      <w:r w:rsidRPr="0011555A">
        <w:t xml:space="preserve">bsolute </w:t>
      </w:r>
      <w:proofErr w:type="gramStart"/>
      <w:r w:rsidRPr="0011555A">
        <w:t>contraindications</w:t>
      </w:r>
      <w:proofErr w:type="gramEnd"/>
      <w:r w:rsidRPr="0011555A">
        <w:t xml:space="preserve"> </w:t>
      </w:r>
      <w:r w:rsidR="006B42E8" w:rsidRPr="0011555A">
        <w:t xml:space="preserve">as </w:t>
      </w:r>
      <w:r w:rsidRPr="0011555A">
        <w:t>lack of informed consent and uncooperative behavior</w:t>
      </w:r>
      <w:r w:rsidR="00C57D5E" w:rsidRPr="0011555A">
        <w:t xml:space="preserve"> or r</w:t>
      </w:r>
      <w:r w:rsidRPr="0011555A">
        <w:t xml:space="preserve">elative contraindications encompassed coagulopathy (thrombocytopenia with platelet count &lt;100,000/μL or INR &gt;1.5), therapeutic anticoagulation, severe needle phobia, active skin infection or hematoma at the injection site, and known hypersensitivity to lidocaine or related anesthetics. Patients with cognitive or sensory impairments interfering with cooperation (dementia, multiple </w:t>
      </w:r>
      <w:proofErr w:type="gramStart"/>
      <w:r w:rsidRPr="0011555A">
        <w:t>trauma</w:t>
      </w:r>
      <w:proofErr w:type="gramEnd"/>
      <w:r w:rsidRPr="0011555A">
        <w:t xml:space="preserve">, severe hearing or visual impairments, neurological deficits, communication difficulties), inability to lie supine due to chronic back pain or obstructive sleep apnea, and peripheral vascular disease affecting the operative limb were </w:t>
      </w:r>
      <w:r w:rsidR="00C57D5E" w:rsidRPr="0011555A">
        <w:t xml:space="preserve">also </w:t>
      </w:r>
      <w:r w:rsidRPr="0011555A">
        <w:t>excluded.</w:t>
      </w:r>
    </w:p>
    <w:p w14:paraId="71BF457E" w14:textId="4415354D" w:rsidR="00D30145" w:rsidRPr="0011555A" w:rsidRDefault="00D30145" w:rsidP="00504451">
      <w:pPr>
        <w:pStyle w:val="P"/>
        <w:ind w:firstLine="0"/>
        <w:rPr>
          <w:b/>
          <w:bCs/>
        </w:rPr>
      </w:pPr>
      <w:r w:rsidRPr="0011555A">
        <w:rPr>
          <w:b/>
          <w:bCs/>
        </w:rPr>
        <w:t>Methods:</w:t>
      </w:r>
    </w:p>
    <w:p w14:paraId="7390B456" w14:textId="77777777" w:rsidR="0006002A" w:rsidRPr="0011555A" w:rsidRDefault="0006002A" w:rsidP="0006002A">
      <w:pPr>
        <w:pStyle w:val="P"/>
        <w:ind w:firstLine="0"/>
        <w:rPr>
          <w:b/>
          <w:bCs/>
        </w:rPr>
      </w:pPr>
      <w:r w:rsidRPr="0011555A">
        <w:rPr>
          <w:b/>
          <w:bCs/>
        </w:rPr>
        <w:t>Preparation</w:t>
      </w:r>
    </w:p>
    <w:p w14:paraId="11634919" w14:textId="560F0D54" w:rsidR="0006002A" w:rsidRPr="0011555A" w:rsidRDefault="0006002A" w:rsidP="001A28C2">
      <w:pPr>
        <w:pStyle w:val="P"/>
      </w:pPr>
      <w:r w:rsidRPr="0011555A">
        <w:t xml:space="preserve">Patients arrived thirty minutes before the scheduled procedure for adequate preparation and anxiety management. Clear communication and reassurance were prioritized, with minimized patient </w:t>
      </w:r>
      <w:proofErr w:type="gramStart"/>
      <w:r w:rsidRPr="0011555A">
        <w:t>overlap</w:t>
      </w:r>
      <w:proofErr w:type="gramEnd"/>
      <w:r w:rsidRPr="0011555A">
        <w:t xml:space="preserve"> in waiting areas and restricted staff presence. Lidocaine with epinephrine was administered thirty minutes before incision, with additional anesthetic kept available if needed. Vital signs and Visual Analog Scale (VAS) pain scores were monitored at ten-minute intervals throughout the procedure.</w:t>
      </w:r>
    </w:p>
    <w:p w14:paraId="4AA4C8D9" w14:textId="77777777" w:rsidR="0006002A" w:rsidRPr="0011555A" w:rsidRDefault="0006002A" w:rsidP="0006002A">
      <w:pPr>
        <w:pStyle w:val="P"/>
        <w:ind w:firstLine="0"/>
        <w:rPr>
          <w:b/>
          <w:bCs/>
        </w:rPr>
      </w:pPr>
      <w:r w:rsidRPr="0011555A">
        <w:rPr>
          <w:b/>
          <w:bCs/>
        </w:rPr>
        <w:t>Technique of Local Anesthetic</w:t>
      </w:r>
    </w:p>
    <w:p w14:paraId="2EB9FF2E" w14:textId="77777777" w:rsidR="0006002A" w:rsidRPr="0011555A" w:rsidRDefault="0006002A" w:rsidP="0006002A">
      <w:pPr>
        <w:pStyle w:val="P"/>
      </w:pPr>
      <w:r w:rsidRPr="0011555A">
        <w:t>Local anesthesia was administered in the preoperative preparation room under aseptic conditions using 1% lidocaine with 1:100,000 epinephrine infiltrated directly at the surgical site without tourniquet application. Alternative dilutions (1:400,000) were used for tendon repairs, with 8.4% bicarbonate added as a buffer when indicated to reduce injection discomfort. A fine needle (25–27 gauge) was inserted perpendicularly with up to 10 ml of solution injected subcutaneously in antegrade manner, maintaining a local wheal one centimeter ahead of the needle tip. Reinjections were performed only into previously anesthetized areas. Vital signs and VAS scores were monitored every ten minutes, with phentolamine available for epinephrine reversal if required.</w:t>
      </w:r>
    </w:p>
    <w:p w14:paraId="1FA368DB" w14:textId="77777777" w:rsidR="0006002A" w:rsidRPr="0011555A" w:rsidRDefault="0006002A" w:rsidP="0006002A">
      <w:pPr>
        <w:pStyle w:val="P"/>
        <w:ind w:firstLine="0"/>
        <w:rPr>
          <w:b/>
          <w:bCs/>
        </w:rPr>
      </w:pPr>
      <w:r w:rsidRPr="0011555A">
        <w:rPr>
          <w:b/>
          <w:bCs/>
        </w:rPr>
        <w:t>Injection Sites for Common Procedures</w:t>
      </w:r>
    </w:p>
    <w:p w14:paraId="5AFA68AE" w14:textId="77777777" w:rsidR="0006002A" w:rsidRPr="0011555A" w:rsidRDefault="0006002A" w:rsidP="0006002A">
      <w:pPr>
        <w:pStyle w:val="P"/>
      </w:pPr>
      <w:r w:rsidRPr="0011555A">
        <w:t>Carpal tunnel release: 20 ml total (10 ml proximal to wrist crease, 10 ml deep to incision). Trigger finger: 4 ml subcutaneously. Finger sensory block: 2 ml into proximal phalanx. Metacarpal fractures: 40 ml circumferentially. Dupuytren's contracture: 10 ml palm, 2 ml proximal phalanx, 2 ml middle phalanx. ORIF of distal radius: 5 ml into fracture site, 10 ml into volar or dorsal radius, using 1:40,000 epinephrine concentration; 5 ml into pronator quadratus for volar plating or beneath extensor retinaculum for dorsal plating.</w:t>
      </w:r>
    </w:p>
    <w:p w14:paraId="29704F99" w14:textId="77777777" w:rsidR="0006002A" w:rsidRPr="0011555A" w:rsidRDefault="0006002A" w:rsidP="0006002A">
      <w:pPr>
        <w:pStyle w:val="P"/>
        <w:ind w:firstLine="0"/>
        <w:rPr>
          <w:b/>
          <w:bCs/>
        </w:rPr>
      </w:pPr>
      <w:r w:rsidRPr="0011555A">
        <w:rPr>
          <w:b/>
          <w:bCs/>
        </w:rPr>
        <w:t>Perioperative Monitoring and Postoperative Assessment</w:t>
      </w:r>
    </w:p>
    <w:p w14:paraId="54AA5F99" w14:textId="77777777" w:rsidR="0006002A" w:rsidRPr="0011555A" w:rsidRDefault="0006002A" w:rsidP="0006002A">
      <w:pPr>
        <w:pStyle w:val="P"/>
      </w:pPr>
      <w:r w:rsidRPr="0011555A">
        <w:lastRenderedPageBreak/>
        <w:t>Hemodynamic parameters were recorded before induction and every five minutes until procedure completion. Postoperatively, patients were monitored in the PACU with vital signs recorded every 15 minutes for the first hour. VAS pain scores were assessed at 0, 0.5, 1, 4, 12, and 24 hours postoperatively. Intravenous morphine (0.03 mg/kg/dose) was administered when VAS ≥3. Postoperative complications and WALANT-specific complications (nerve injury, hematoma, local anesthetic toxicity, intravascular injection) were documented. Patient and surgeon satisfaction were assessed using an 11-point scale (0–3: not satisfied; 4–6: fair; 7–10: good).</w:t>
      </w:r>
    </w:p>
    <w:p w14:paraId="682C52D0" w14:textId="0F883F8C" w:rsidR="0006002A" w:rsidRPr="0011555A" w:rsidRDefault="0006002A" w:rsidP="0006002A">
      <w:pPr>
        <w:pStyle w:val="P"/>
        <w:ind w:firstLine="0"/>
        <w:rPr>
          <w:b/>
          <w:bCs/>
        </w:rPr>
      </w:pPr>
      <w:r w:rsidRPr="0011555A">
        <w:rPr>
          <w:b/>
          <w:bCs/>
        </w:rPr>
        <w:t>Statistical Analysis</w:t>
      </w:r>
    </w:p>
    <w:p w14:paraId="5482DBF5" w14:textId="51ACF74B" w:rsidR="0040421D" w:rsidRDefault="0006002A" w:rsidP="0006002A">
      <w:pPr>
        <w:pStyle w:val="P"/>
      </w:pPr>
      <w:r w:rsidRPr="0011555A">
        <w:t>Data analysis was performed using SPSS version 27</w:t>
      </w:r>
      <w:r w:rsidR="00563E87">
        <w:t xml:space="preserve"> </w:t>
      </w:r>
      <w:r w:rsidR="0027348F" w:rsidRPr="00F5544A">
        <w:t>(IBM, Armonk, New York, United States)</w:t>
      </w:r>
      <w:r w:rsidRPr="0011555A">
        <w:t xml:space="preserve">. Quantitative data were assessed for normality using the Shapiro-Wilk test and summarized as means ± standard deviations or medians (ranges). Categorical data were presented as numbers and percentages. The Friedman test compared VAS scores across timepoints, while </w:t>
      </w:r>
      <w:proofErr w:type="gramStart"/>
      <w:r w:rsidRPr="0011555A">
        <w:t>Independent</w:t>
      </w:r>
      <w:proofErr w:type="gramEnd"/>
      <w:r w:rsidRPr="0011555A">
        <w:t xml:space="preserve"> t-test and Mann–Whitney U test compared quantitative variables. Chi-square or Fisher's exact test </w:t>
      </w:r>
      <w:proofErr w:type="gramStart"/>
      <w:r w:rsidRPr="0011555A">
        <w:t>compared</w:t>
      </w:r>
      <w:proofErr w:type="gramEnd"/>
      <w:r w:rsidRPr="0011555A">
        <w:t xml:space="preserve"> categorical data. Multivariate logistic regression predicted need for tourniquet application and general anesthesia, while multivariate linear regression predicted VAS, time to first rescue analgesia, and total morphine consumption. P-values &lt;0.05 were considered significant.</w:t>
      </w:r>
    </w:p>
    <w:p w14:paraId="31B11401" w14:textId="3CE5B78D" w:rsidR="007C4AF4" w:rsidRDefault="007C4AF4" w:rsidP="00ED1E3C">
      <w:pPr>
        <w:spacing w:before="240" w:after="0" w:line="240" w:lineRule="auto"/>
        <w:jc w:val="lowKashida"/>
        <w:rPr>
          <w:rFonts w:asciiTheme="majorBidi" w:hAnsiTheme="majorBidi" w:cstheme="majorBidi"/>
          <w:b/>
          <w:bCs/>
          <w:sz w:val="24"/>
          <w:szCs w:val="24"/>
          <w:lang w:val="en-GB"/>
        </w:rPr>
      </w:pPr>
      <w:r w:rsidRPr="0011555A">
        <w:rPr>
          <w:rFonts w:asciiTheme="majorBidi" w:hAnsiTheme="majorBidi" w:cstheme="majorBidi"/>
          <w:b/>
          <w:bCs/>
          <w:sz w:val="24"/>
          <w:szCs w:val="24"/>
          <w:lang w:val="en-GB"/>
        </w:rPr>
        <w:t>Results</w:t>
      </w:r>
      <w:r w:rsidR="00FE5E7D" w:rsidRPr="0011555A">
        <w:rPr>
          <w:rFonts w:asciiTheme="majorBidi" w:hAnsiTheme="majorBidi" w:cstheme="majorBidi"/>
          <w:b/>
          <w:bCs/>
          <w:sz w:val="24"/>
          <w:szCs w:val="24"/>
          <w:lang w:val="en-GB"/>
        </w:rPr>
        <w:t>:</w:t>
      </w:r>
    </w:p>
    <w:p w14:paraId="184BBC3F" w14:textId="557C10A9" w:rsidR="009953D9" w:rsidRPr="009953D9" w:rsidRDefault="009953D9" w:rsidP="00FA6DE5">
      <w:pPr>
        <w:pStyle w:val="P"/>
      </w:pPr>
      <w:bookmarkStart w:id="0" w:name="_Ref132084226"/>
      <w:bookmarkStart w:id="1" w:name="_Ref132086909"/>
      <w:r w:rsidRPr="009953D9">
        <w:t xml:space="preserve">This prospective study was conducted at the Department of Anesthesia and Intensive Care, Benha University Hospital, </w:t>
      </w:r>
      <w:proofErr w:type="gramStart"/>
      <w:r w:rsidRPr="009953D9">
        <w:t>The</w:t>
      </w:r>
      <w:proofErr w:type="gramEnd"/>
      <w:r w:rsidRPr="009953D9">
        <w:t xml:space="preserve"> diagram shows a study flow where 60 patients were assessed, and 10 were excluded for not meeting the inclusion criteria. A total of 50 patients were enrolled and received the WALANT technique. All 50 patients</w:t>
      </w:r>
      <w:r>
        <w:t xml:space="preserve"> </w:t>
      </w:r>
      <w:r w:rsidRPr="009953D9">
        <w:t>completed the surgery and the 24-hour follow-up with no losses to follow-up</w:t>
      </w:r>
      <w:r w:rsidRPr="009953D9">
        <w:rPr>
          <w:rtl/>
        </w:rPr>
        <w:t xml:space="preserve"> </w:t>
      </w:r>
      <w:r w:rsidRPr="009953D9">
        <w:t xml:space="preserve">as shown in </w:t>
      </w:r>
      <w:r w:rsidRPr="009953D9">
        <w:rPr>
          <w:b/>
          <w:bCs/>
        </w:rPr>
        <w:t xml:space="preserve">Figure </w:t>
      </w:r>
      <w:r w:rsidR="005C05A7">
        <w:rPr>
          <w:b/>
          <w:bCs/>
        </w:rPr>
        <w:t>1</w:t>
      </w:r>
      <w:r w:rsidRPr="009953D9">
        <w:rPr>
          <w:b/>
          <w:bCs/>
        </w:rPr>
        <w:t>.</w:t>
      </w:r>
    </w:p>
    <w:p w14:paraId="1AF2C472" w14:textId="77777777" w:rsidR="004953F4" w:rsidRPr="0011555A" w:rsidRDefault="004953F4" w:rsidP="00C55D9A">
      <w:pPr>
        <w:pStyle w:val="P"/>
        <w:rPr>
          <w:b/>
          <w:bCs/>
        </w:rPr>
      </w:pPr>
      <w:r w:rsidRPr="0011555A">
        <w:t xml:space="preserve">The </w:t>
      </w:r>
      <w:proofErr w:type="gramStart"/>
      <w:r w:rsidRPr="0011555A">
        <w:t>studied patients</w:t>
      </w:r>
      <w:proofErr w:type="gramEnd"/>
      <w:r w:rsidRPr="0011555A">
        <w:t xml:space="preserve"> had a median age of 38 years, ranging from 18 to 66 years. Females slightly predominated (54%) over males (46%). Regarding physical status, the majority (72%) were classified as ASA I, while the remaining (28%) were ASA II. The mean body mass index (BMI) was 31 ±6 kg/m². The mean onset of sensory block was 4 ±1 minutes. Open procedures were performed in more than half of the cases (56%). The surgical site was equally distributed between right and left sides (50% each). The duration of surgery </w:t>
      </w:r>
      <w:proofErr w:type="gramStart"/>
      <w:r w:rsidRPr="0011555A">
        <w:t>had</w:t>
      </w:r>
      <w:proofErr w:type="gramEnd"/>
      <w:r w:rsidRPr="0011555A">
        <w:t xml:space="preserve"> a median of 45 minutes, ranging from 25 to 130 minutes. A tourniquet was required in 22% of patients, while general anesthesia was needed in 18%. </w:t>
      </w:r>
      <w:r w:rsidRPr="0011555A">
        <w:rPr>
          <w:b/>
          <w:bCs/>
        </w:rPr>
        <w:t>Table 1</w:t>
      </w:r>
    </w:p>
    <w:p w14:paraId="787F623A" w14:textId="43D88DB6" w:rsidR="004953F4" w:rsidRPr="0011555A" w:rsidRDefault="004953F4" w:rsidP="00C55D9A">
      <w:pPr>
        <w:pStyle w:val="P"/>
      </w:pPr>
      <w:r w:rsidRPr="0011555A">
        <w:t xml:space="preserve">The median VAS score for pain immediately after surgery was 1 (range: 0–2), increasing to 2 (range: 1–3) at 4 hours, 3 (range: 2–4) at 12 hours, and 4 (range: 3–5) at 24 hours postoperatively, showing a statistically significant upward trend (P &lt; 0.001). </w:t>
      </w:r>
      <w:r w:rsidRPr="0011555A">
        <w:rPr>
          <w:b/>
          <w:bCs/>
        </w:rPr>
        <w:t xml:space="preserve">Figure </w:t>
      </w:r>
      <w:r w:rsidR="009F2320">
        <w:rPr>
          <w:b/>
          <w:bCs/>
        </w:rPr>
        <w:t>2</w:t>
      </w:r>
    </w:p>
    <w:p w14:paraId="2C7D38EC" w14:textId="77777777" w:rsidR="004953F4" w:rsidRPr="0011555A" w:rsidRDefault="004953F4" w:rsidP="00B67237">
      <w:pPr>
        <w:pStyle w:val="P"/>
      </w:pPr>
      <w:r w:rsidRPr="0011555A">
        <w:t xml:space="preserve">The median time to first analgesic request was 2.2 hours (range: 0.5–5.5). The median 24-hour morphine consumption was 5.7 mg/kg (range: 0–14.9). Postoperative complications were infrequent. Nausea occurred in 6% of patients, while vomiting was </w:t>
      </w:r>
      <w:r w:rsidRPr="0011555A">
        <w:lastRenderedPageBreak/>
        <w:t xml:space="preserve">reported in 8%. No cases of pruritus were observed. The mean hospital length of stay was 5 ±1 hours. Regarding satisfaction, </w:t>
      </w:r>
      <w:proofErr w:type="gramStart"/>
      <w:r w:rsidRPr="0011555A">
        <w:t>the majority of</w:t>
      </w:r>
      <w:proofErr w:type="gramEnd"/>
      <w:r w:rsidRPr="0011555A">
        <w:t xml:space="preserve"> surgeons (68%) were either very satisfied or satisfied with the procedure. In contrast, patient satisfaction was more diverse, with 58% reporting being satisfied or very satisfied. Notably, 22% of patients reported neutral satisfaction, while dissatisfaction was reported by 20% of patients compared to only 10% of surgeons. </w:t>
      </w:r>
      <w:r w:rsidRPr="0011555A">
        <w:rPr>
          <w:b/>
          <w:bCs/>
        </w:rPr>
        <w:t>Table 2</w:t>
      </w:r>
    </w:p>
    <w:p w14:paraId="1CE2AA05" w14:textId="77777777" w:rsidR="004953F4" w:rsidRPr="0011555A" w:rsidRDefault="004953F4" w:rsidP="00B67237">
      <w:pPr>
        <w:pStyle w:val="P"/>
      </w:pPr>
      <w:r w:rsidRPr="0011555A">
        <w:t xml:space="preserve">Patients were divided into two groups based on the type of surgical procedure: those who underwent open procedures (n = 28) and those who underwent </w:t>
      </w:r>
      <w:bookmarkStart w:id="2" w:name="OLE_LINK2"/>
      <w:r w:rsidRPr="0011555A">
        <w:t xml:space="preserve">non-open </w:t>
      </w:r>
      <w:bookmarkEnd w:id="2"/>
      <w:r w:rsidRPr="0011555A">
        <w:t>(percutaneous or minimally invasive) procedures (n = 22). No significant differences</w:t>
      </w:r>
      <w:r w:rsidRPr="0011555A">
        <w:rPr>
          <w:b/>
          <w:bCs/>
        </w:rPr>
        <w:t xml:space="preserve"> </w:t>
      </w:r>
      <w:r w:rsidRPr="0011555A">
        <w:t xml:space="preserve">were observed in any of the assessed variables. Age (P = 0.273), sex (P = 0.615), ASA classification (P = 0.919), and BMI (P = 0.496) did not significantly differ between the two groups. The need for tourniquet was significantly higher among patients who underwent open procedures (39.3% vs. 4.5%, P = 0.004). Similarly, the need for general anesthesia was more frequent in the open group (32.1% vs. 4.5%, P = 0.015). On the other hand, onset of block (P = 0.261), side of surgery (P = 0.569), and surgery duration (P = 0.403) did not significantly differ between the two groups. </w:t>
      </w:r>
      <w:r w:rsidRPr="0011555A">
        <w:rPr>
          <w:b/>
          <w:bCs/>
        </w:rPr>
        <w:t>Table 3</w:t>
      </w:r>
    </w:p>
    <w:p w14:paraId="3496EA4E" w14:textId="4547E322" w:rsidR="004953F4" w:rsidRPr="0011555A" w:rsidRDefault="004953F4" w:rsidP="00061B04">
      <w:pPr>
        <w:pStyle w:val="P"/>
      </w:pPr>
      <w:r w:rsidRPr="0011555A">
        <w:t xml:space="preserve">Patients who underwent open procedures reported significantly higher pain scores at all postoperative time points compared to those who underwent non-open (closed) procedures. The median immediate postoperative VAS score was 1 (range 1–2) in the open group and 1 (range 0–1) in the closed group (p &lt; 0.001). At 4 hours, the median VAS was 2 (range 2–3) for the open group and 1 (range 1–2) for the closed group (p &lt; 0.001). At 12 hours, the scores were 3 (range 3–4) and 3 (range 2–3), respectively (p &lt; 0.001). By 24 hours, the median VAS increased to 5 (range 4–5) in the open group and 3 (range 3–4) in the closed group (p &lt; 0.001). </w:t>
      </w:r>
      <w:r w:rsidRPr="0011555A">
        <w:rPr>
          <w:b/>
          <w:bCs/>
        </w:rPr>
        <w:t xml:space="preserve">Figure </w:t>
      </w:r>
      <w:r w:rsidR="009F2320">
        <w:rPr>
          <w:b/>
          <w:bCs/>
        </w:rPr>
        <w:t>3</w:t>
      </w:r>
    </w:p>
    <w:p w14:paraId="51491780" w14:textId="77777777" w:rsidR="004953F4" w:rsidRPr="0011555A" w:rsidRDefault="004953F4" w:rsidP="00C80D6F">
      <w:pPr>
        <w:pStyle w:val="P"/>
        <w:rPr>
          <w:b/>
          <w:bCs/>
        </w:rPr>
      </w:pPr>
      <w:r w:rsidRPr="0011555A">
        <w:t xml:space="preserve">Additionally, time to first analgesia was significantly shorter in the open group (median: 1.8 vs. 3.8 hours, P &lt; 0.001), and 24-hour morphine consumption was substantially higher (median: 10.2 vs. 0 mg/kg, P &lt; 0.001). Postoperative complications, including nausea (P = 0.576) and vomiting (P = 0.621), were insignificant between the two groups. Also, hospital length of stay did not significantly differ between patients who underwent open and non-open procedures (P = 0.614). Patients’ satisfaction (P = 0.203) and surgeons’ satisfaction (P = 0.261) did not significantly differ between the open and non-open procedure groups. </w:t>
      </w:r>
      <w:r w:rsidRPr="0011555A">
        <w:rPr>
          <w:b/>
          <w:bCs/>
        </w:rPr>
        <w:t>Table 4</w:t>
      </w:r>
    </w:p>
    <w:p w14:paraId="07DD6A1E" w14:textId="77777777" w:rsidR="004953F4" w:rsidRPr="0011555A" w:rsidRDefault="004953F4" w:rsidP="00C80D6F">
      <w:pPr>
        <w:pStyle w:val="P"/>
        <w:rPr>
          <w:b/>
          <w:bCs/>
        </w:rPr>
      </w:pPr>
      <w:r w:rsidRPr="0011555A">
        <w:t xml:space="preserve">Multivariate logistic regression analysis was conducted to identify predictors for the need for tourniquet application and general anesthesia. For tourniquet need, undergoing an open procedure was significantly associated with a higher likelihood of requiring tourniquet application (OR = 11.272, 95% CI = 1.229–103.339, P = 0.032), adjusting for age, sex, BMI, and ASA classification. Regarding general anesthesia need, open procedure was associated with an increased risk of requiring general anesthesia (OR = 10.111, 95% CI = 0.960–106.441), with a borderline significant P value of 0.054, adjusting for age, sex, BMI, and ASA classification. </w:t>
      </w:r>
      <w:r w:rsidRPr="0011555A">
        <w:rPr>
          <w:b/>
          <w:bCs/>
        </w:rPr>
        <w:t>Table 5</w:t>
      </w:r>
    </w:p>
    <w:p w14:paraId="258223C0" w14:textId="77777777" w:rsidR="004953F4" w:rsidRPr="0011555A" w:rsidRDefault="004953F4" w:rsidP="007F4774">
      <w:pPr>
        <w:pStyle w:val="P"/>
      </w:pPr>
      <w:r w:rsidRPr="0011555A">
        <w:t xml:space="preserve">Multivariate linear regression analysis was conducted to evaluate the effect of open procedures on postoperative pain scores (VAS) at various time points, adjusting for age, </w:t>
      </w:r>
      <w:r w:rsidRPr="0011555A">
        <w:lastRenderedPageBreak/>
        <w:t>gender, BMI, and ASA classification. Open procedures were significantly associated with higher postoperative VAS scores at all evaluated time points, even after controlling for age, gender, BMI, and ASA classification. Immediately after surgery, open procedures increased the VAS score by 0.756 points (B = 0.756, 95% CI: 0.464–1.048, P &lt; 0.001). At 4 hours postoperatively, the increase was 0.937 points (95% CI: 0.633–1.242, P &lt; 0.001). At 12 hours, open procedures remained significantly associated with higher pain, with an increase of 0.802 points (95% CI: 0.505–1.098, P &lt; 0.001). By 24 hours, the association was strongest, with an increase of 1.483 points (95% CI: 1.216–1.750, P &lt; 0.001).</w:t>
      </w:r>
    </w:p>
    <w:p w14:paraId="0CA25611" w14:textId="77777777" w:rsidR="004953F4" w:rsidRPr="0011555A" w:rsidRDefault="004953F4" w:rsidP="007F4774">
      <w:pPr>
        <w:pStyle w:val="P"/>
        <w:rPr>
          <w:b/>
          <w:bCs/>
        </w:rPr>
      </w:pPr>
      <w:r w:rsidRPr="0011555A">
        <w:t>Multivariate linear regression analysis was performed to identify predictors of the time to first rescue analgesia (in hours) and total morphine consumption (mg/kg) within the first 24 hours postoperatively. Open procedures</w:t>
      </w:r>
      <w:r w:rsidRPr="0011555A">
        <w:rPr>
          <w:b/>
          <w:bCs/>
        </w:rPr>
        <w:t xml:space="preserve"> </w:t>
      </w:r>
      <w:r w:rsidRPr="0011555A">
        <w:t xml:space="preserve">were significantly associated with a shorter time to first analgesia and higher opioid requirement. Patients undergoing open procedures experienced a 2.034-hour earlier need for rescue analgesia (B = -2.034, 95% CI: -2.610 to -1.458, P &lt; 0.001) and consumed 9.031 mg/kg more morphine within 24 hours (B = 9.031, 95% CI: 7.567 to 10.495, P &lt; 0.001), adjusting for age, sex, BMI, and ASA classification. </w:t>
      </w:r>
      <w:r w:rsidRPr="0011555A">
        <w:rPr>
          <w:b/>
          <w:bCs/>
        </w:rPr>
        <w:t>Table 6</w:t>
      </w:r>
    </w:p>
    <w:bookmarkEnd w:id="0"/>
    <w:bookmarkEnd w:id="1"/>
    <w:p w14:paraId="6E3D4539" w14:textId="1CD2E171" w:rsidR="00E93B95" w:rsidRPr="0011555A" w:rsidRDefault="00E93B95" w:rsidP="00ED1E3C">
      <w:pPr>
        <w:spacing w:before="240" w:after="0" w:line="240" w:lineRule="auto"/>
        <w:rPr>
          <w:rFonts w:asciiTheme="majorBidi" w:hAnsiTheme="majorBidi" w:cstheme="majorBidi"/>
          <w:b/>
          <w:bCs/>
          <w:sz w:val="24"/>
          <w:szCs w:val="24"/>
        </w:rPr>
      </w:pPr>
      <w:r w:rsidRPr="0011555A">
        <w:rPr>
          <w:rFonts w:asciiTheme="majorBidi" w:hAnsiTheme="majorBidi" w:cstheme="majorBidi"/>
          <w:b/>
          <w:bCs/>
          <w:sz w:val="24"/>
          <w:szCs w:val="24"/>
        </w:rPr>
        <w:t>Discussion</w:t>
      </w:r>
      <w:r w:rsidR="00FE5E7D" w:rsidRPr="0011555A">
        <w:rPr>
          <w:rFonts w:asciiTheme="majorBidi" w:hAnsiTheme="majorBidi" w:cstheme="majorBidi"/>
          <w:b/>
          <w:bCs/>
          <w:sz w:val="24"/>
          <w:szCs w:val="24"/>
        </w:rPr>
        <w:t>:</w:t>
      </w:r>
    </w:p>
    <w:p w14:paraId="744EF2F0" w14:textId="56FBBE5A" w:rsidR="0015748C" w:rsidRPr="0011555A" w:rsidRDefault="0015748C" w:rsidP="0015748C">
      <w:pPr>
        <w:pStyle w:val="P"/>
      </w:pPr>
      <w:r w:rsidRPr="0011555A">
        <w:t xml:space="preserve">Hand and wrist surgeries are traditionally performed under general, regional, or local anesthesia, each with inherent limitations. Therefore, this study included 50 adult patients undergoing elective hand or wrist surgery to </w:t>
      </w:r>
      <w:r w:rsidR="00AA07BD" w:rsidRPr="0011555A">
        <w:t>assess the effectiveness and safety of the WALANT technique as a single anesthetic method for such procedures.</w:t>
      </w:r>
    </w:p>
    <w:p w14:paraId="592A5584" w14:textId="210267A5" w:rsidR="005C1479" w:rsidRPr="0011555A" w:rsidRDefault="005C1479" w:rsidP="0015748C">
      <w:pPr>
        <w:pStyle w:val="P"/>
      </w:pPr>
      <w:r w:rsidRPr="0011555A">
        <w:t>In the current work, postoperative pain increased significantly over time, with the median VAS rising from 1 immediately after surgery to 4 at 24 hours. The median time to first analgesic request was 2.2 hours, median 24-hour morphine consumption was 5.7 mg/kg, and 74% of patients required analgesia. Complications were uncommon (nausea 6%, vomiting 8%), with no pruritus or systemic toxicity, and the mean hospital stay was short (5 ± 1 hours). Satisfaction was moderate: 58% of patients and 68% of surgeons were satisfied/very satisfied, while dissatisfaction was higher among patients (20%) than surgeons (10%).</w:t>
      </w:r>
    </w:p>
    <w:p w14:paraId="481F8078" w14:textId="5C2AE2B4" w:rsidR="005C1479" w:rsidRPr="0011555A" w:rsidRDefault="005C1479" w:rsidP="005C1479">
      <w:pPr>
        <w:pStyle w:val="P"/>
      </w:pPr>
      <w:r w:rsidRPr="0011555A">
        <w:t xml:space="preserve">In harmony with our findings, </w:t>
      </w:r>
      <w:r w:rsidRPr="0011555A">
        <w:rPr>
          <w:b/>
          <w:bCs/>
        </w:rPr>
        <w:t xml:space="preserve">Sawhney et al. </w:t>
      </w:r>
      <w:r w:rsidR="00A453E7" w:rsidRPr="0011555A">
        <w:fldChar w:fldCharType="begin"/>
      </w:r>
      <w:r w:rsidR="00AE72F1" w:rsidRPr="0011555A">
        <w:instrText xml:space="preserve"> ADDIN EN.CITE &lt;EndNote&gt;&lt;Cite&gt;&lt;Author&gt;Sawhney&lt;/Author&gt;&lt;Year&gt;2024&lt;/Year&gt;&lt;RecNum&gt;66&lt;/RecNum&gt;&lt;DisplayText&gt;&lt;style face="superscript"&gt;[1]&lt;/style&gt;&lt;/DisplayText&gt;&lt;record&gt;&lt;rec-number&gt;66&lt;/rec-number&gt;&lt;foreign-keys&gt;&lt;key app="EN" db-id="w9sv5pfszaepw1e2wd952229e2er5etdrsdt" timestamp="1756386124"&gt;66&lt;/key&gt;&lt;/foreign-keys&gt;&lt;ref-type name="Journal Article"&gt;17&lt;/ref-type&gt;&lt;contributors&gt;&lt;authors&gt;&lt;author&gt;Sawhney, A.&lt;/author&gt;&lt;author&gt;Thacoor, A.&lt;/author&gt;&lt;author&gt;Nagra, R.&lt;/author&gt;&lt;author&gt;Geoghegan, L.&lt;/author&gt;&lt;author&gt;Akhavani, M.&lt;/author&gt;&lt;/authors&gt;&lt;/contributors&gt;&lt;auth-address&gt;From the Department of Plastic, Reconstructive and Burns Surgery, Stoke-Mandeville Hospital, Aylesbury, United Kingdom.&amp;#xD;Department of Plastic and Reconstructive Surgery, St Georges Hospital, London, United Kingdom.&amp;#xD;University College London, Division of Surgery and Interventional Science, London, United Kingdom.&amp;#xD;Section of Vascular Surgery, Department of Surgery and Cancer, Imperial College London, London, United Kingdom.&amp;#xD;Department of Plastic and Reconstructive Surgery, Royal Free Hospital, London, United Kingdom.&lt;/auth-address&gt;&lt;titles&gt;&lt;title&gt;Wide Awake Local Anesthetic No Tourniquet in Hand and Wrist Surgery: Current Concepts, Indications, and Considerations&lt;/title&gt;&lt;secondary-title&gt;Plast Reconstr Surg Glob Open&lt;/secondary-title&gt;&lt;/titles&gt;&lt;periodical&gt;&lt;full-title&gt;Plast Reconstr Surg Glob Open&lt;/full-title&gt;&lt;/periodical&gt;&lt;pages&gt;e5526&lt;/pages&gt;&lt;volume&gt;12&lt;/volume&gt;&lt;number&gt;1&lt;/number&gt;&lt;edition&gt;2024/01/23&lt;/edition&gt;&lt;dates&gt;&lt;year&gt;2024&lt;/year&gt;&lt;pub-dates&gt;&lt;date&gt;Jan&lt;/date&gt;&lt;/pub-dates&gt;&lt;/dates&gt;&lt;isbn&gt;2169-7574 (Print)&amp;#xD;2169-7574&lt;/isbn&gt;&lt;accession-num&gt;38260757&lt;/accession-num&gt;&lt;urls&gt;&lt;/urls&gt;&lt;custom2&gt;PMC10803042 this article.&lt;/custom2&gt;&lt;electronic-resource-num&gt;10.1097/gox.0000000000005526&lt;/electronic-resource-num&gt;&lt;remote-database-provider&gt;NLM&lt;/remote-database-provider&gt;&lt;language&gt;eng&lt;/language&gt;&lt;/record&gt;&lt;/Cite&gt;&lt;/EndNote&gt;</w:instrText>
      </w:r>
      <w:r w:rsidR="00A453E7" w:rsidRPr="0011555A">
        <w:fldChar w:fldCharType="separate"/>
      </w:r>
      <w:r w:rsidR="00AE72F1" w:rsidRPr="0011555A">
        <w:rPr>
          <w:noProof/>
          <w:vertAlign w:val="superscript"/>
        </w:rPr>
        <w:t>[1]</w:t>
      </w:r>
      <w:r w:rsidR="00A453E7" w:rsidRPr="0011555A">
        <w:fldChar w:fldCharType="end"/>
      </w:r>
      <w:r w:rsidRPr="0011555A">
        <w:t xml:space="preserve"> reviewed 79 studies across 19 elective and trauma procedures and concluded WALANT is consistently safe, well tolerated, and increasingly adopted worldwide, emphasizing avoidance of tourniquet discomfort and anesthetic risks alongside improved cost-effectiveness. Parallel to our results, </w:t>
      </w:r>
      <w:r w:rsidRPr="0011555A">
        <w:rPr>
          <w:b/>
          <w:bCs/>
        </w:rPr>
        <w:t xml:space="preserve">Ahmad et al. </w:t>
      </w:r>
      <w:r w:rsidR="003C33BF" w:rsidRPr="0011555A">
        <w:fldChar w:fldCharType="begin"/>
      </w:r>
      <w:r w:rsidR="00AE72F1" w:rsidRPr="0011555A">
        <w:instrText xml:space="preserve"> ADDIN EN.CITE &lt;EndNote&gt;&lt;Cite&gt;&lt;Author&gt;Ahmad&lt;/Author&gt;&lt;Year&gt;2023&lt;/Year&gt;&lt;RecNum&gt;67&lt;/RecNum&gt;&lt;DisplayText&gt;&lt;style face="superscript"&gt;[6]&lt;/style&gt;&lt;/DisplayText&gt;&lt;record&gt;&lt;rec-number&gt;67&lt;/rec-number&gt;&lt;foreign-keys&gt;&lt;key app="EN" db-id="w9sv5pfszaepw1e2wd952229e2er5etdrsdt" timestamp="1756386212"&gt;67&lt;/key&gt;&lt;/foreign-keys&gt;&lt;ref-type name="Journal Article"&gt;17&lt;/ref-type&gt;&lt;contributors&gt;&lt;authors&gt;&lt;author&gt;Ahmad, Mohammad Reda&lt;/author&gt;&lt;author&gt;Abdel-Aal, Mohamed Hassan Mohamed&lt;/author&gt;&lt;author&gt;Sakr, Hesham Ahmed&lt;/author&gt;&lt;/authors&gt;&lt;/contributors&gt;&lt;titles&gt;&lt;title&gt;Evaluation of Wide-Awake Local Anesthesia No Tourniquet Technique for Extremity Surgeries&lt;/title&gt;&lt;secondary-title&gt;The Egyptian Journal of Hospital Medicine&lt;/secondary-title&gt;&lt;short-title&gt;Evaluation of Wide-Awake Local Anesthesia No Tourniquet Technique for Extremity Surgeries&lt;/short-title&gt;&lt;/titles&gt;&lt;periodical&gt;&lt;full-title&gt;The Egyptian Journal of Hospital Medicine&lt;/full-title&gt;&lt;/periodical&gt;&lt;pages&gt;4837-4840&lt;/pages&gt;&lt;volume&gt;91&lt;/volume&gt;&lt;number&gt;1&lt;/number&gt;&lt;keywords&gt;&lt;keyword&gt;Extremity Surgeries&lt;/keyword&gt;&lt;keyword&gt;Wide-Awake Local Anesthesia No Tourniquet&lt;/keyword&gt;&lt;/keywords&gt;&lt;dates&gt;&lt;year&gt;2023&lt;/year&gt;&lt;/dates&gt;&lt;urls&gt;&lt;related-urls&gt;&lt;url&gt;https://ejhm.journals.ekb.eg/article_300799_261674bcef55b074dbbe0e6d4cf87ea8.pdf&lt;/url&gt;&lt;/related-urls&gt;&lt;/urls&gt;&lt;electronic-resource-num&gt;10.21608/ejhm.2023.300799&lt;/electronic-resource-num&gt;&lt;/record&gt;&lt;/Cite&gt;&lt;/EndNote&gt;</w:instrText>
      </w:r>
      <w:r w:rsidR="003C33BF" w:rsidRPr="0011555A">
        <w:fldChar w:fldCharType="separate"/>
      </w:r>
      <w:r w:rsidR="00AE72F1" w:rsidRPr="0011555A">
        <w:rPr>
          <w:noProof/>
          <w:vertAlign w:val="superscript"/>
        </w:rPr>
        <w:t>[6]</w:t>
      </w:r>
      <w:r w:rsidR="003C33BF" w:rsidRPr="0011555A">
        <w:fldChar w:fldCharType="end"/>
      </w:r>
      <w:r w:rsidR="003C33BF" w:rsidRPr="0011555A">
        <w:t xml:space="preserve"> </w:t>
      </w:r>
      <w:r w:rsidRPr="0011555A">
        <w:t>compared WALANT with traditional anesthesia at Zagazig University and reported significantly lower pain scores with WALANT (VAS 2.53 ± 0.61 vs. 5.03 ± 0.99, P &lt; 0.001) and a markedly shorter hospital stay (2.15 ± 0.75 vs. 8.84 ± 4.76 hours, P &lt; 0.001), supporting perioperative efficiency.</w:t>
      </w:r>
    </w:p>
    <w:p w14:paraId="7B905B6C" w14:textId="7290256D" w:rsidR="005C1479" w:rsidRPr="005C1479" w:rsidRDefault="005C1479" w:rsidP="005C1479">
      <w:pPr>
        <w:pStyle w:val="P"/>
      </w:pPr>
      <w:r w:rsidRPr="005C1479">
        <w:t xml:space="preserve">Confirming strong intraoperative performance, </w:t>
      </w:r>
      <w:r w:rsidRPr="005C1479">
        <w:rPr>
          <w:b/>
          <w:bCs/>
        </w:rPr>
        <w:t xml:space="preserve">Thabet et al. </w:t>
      </w:r>
      <w:r w:rsidR="00394F42" w:rsidRPr="0011555A">
        <w:fldChar w:fldCharType="begin"/>
      </w:r>
      <w:r w:rsidR="00AE72F1" w:rsidRPr="0011555A">
        <w:instrText xml:space="preserve"> ADDIN EN.CITE &lt;EndNote&gt;&lt;Cite&gt;&lt;Author&gt;Thabet&lt;/Author&gt;&lt;Year&gt;2023&lt;/Year&gt;&lt;RecNum&gt;68&lt;/RecNum&gt;&lt;DisplayText&gt;&lt;style face="superscript"&gt;[7]&lt;/style&gt;&lt;/DisplayText&gt;&lt;record&gt;&lt;rec-number&gt;68&lt;/rec-number&gt;&lt;foreign-keys&gt;&lt;key app="EN" db-id="w9sv5pfszaepw1e2wd952229e2er5etdrsdt" timestamp="1756386287"&gt;68&lt;/key&gt;&lt;/foreign-keys&gt;&lt;ref-type name="Journal Article"&gt;17&lt;/ref-type&gt;&lt;contributors&gt;&lt;authors&gt;&lt;author&gt;Thabet, Mubarak Hemdan&lt;/author&gt;&lt;author&gt;Eleowa, Samy Abd Elsattar&lt;/author&gt;&lt;author&gt;Sholkamy, Kallad Mohamed Abd Elfattah&lt;/author&gt;&lt;/authors&gt;&lt;/contributors&gt;&lt;titles&gt;&lt;title&gt;Safety and Efficiency of Wide-Awake Local Anaesthetic No Tourniquet (WALANT) in Hand Surgery&lt;/title&gt;&lt;secondary-title&gt;Al-Azhar International Medical Journal&lt;/secondary-title&gt;&lt;short-title&gt;Safety and Efficiency of Wide-Awake Local Anaesthetic No Tourniquet (WALANT) in Hand Surgery&lt;/short-title&gt;&lt;/titles&gt;&lt;periodical&gt;&lt;full-title&gt;Al-Azhar International Medical Journal&lt;/full-title&gt;&lt;/periodical&gt;&lt;pages&gt;111-117&lt;/pages&gt;&lt;volume&gt;4&lt;/volume&gt;&lt;number&gt;1&lt;/number&gt;&lt;dates&gt;&lt;year&gt;2023&lt;/year&gt;&lt;/dates&gt;&lt;urls&gt;&lt;/urls&gt;&lt;electronic-resource-num&gt;10.58675/2682-339x.1822&lt;/electronic-resource-num&gt;&lt;/record&gt;&lt;/Cite&gt;&lt;/EndNote&gt;</w:instrText>
      </w:r>
      <w:r w:rsidR="00394F42" w:rsidRPr="0011555A">
        <w:fldChar w:fldCharType="separate"/>
      </w:r>
      <w:r w:rsidR="00AE72F1" w:rsidRPr="0011555A">
        <w:rPr>
          <w:noProof/>
          <w:vertAlign w:val="superscript"/>
        </w:rPr>
        <w:t>[7]</w:t>
      </w:r>
      <w:r w:rsidR="00394F42" w:rsidRPr="0011555A">
        <w:fldChar w:fldCharType="end"/>
      </w:r>
      <w:r w:rsidR="00394F42" w:rsidRPr="0011555A">
        <w:t xml:space="preserve"> </w:t>
      </w:r>
      <w:r w:rsidRPr="005C1479">
        <w:t xml:space="preserve">reported excellent analgesia (VAS 0–1; mean 0.13 ± 0.35), effective hemostasis, prolonged lidocaine effect (3–6 hours; mean 4.2 ± 0.6), and no lidocaine/epinephrine toxicity across tendon repairs, ganglion excision, carpal tunnel release, and trigger finger release. However, contrasted </w:t>
      </w:r>
      <w:r w:rsidRPr="005C1479">
        <w:lastRenderedPageBreak/>
        <w:t xml:space="preserve">with Thabet’s near pain-free intraoperative courses, our cohort—especially those undergoing open procedures—showed higher early postoperative pain and greater opioid use. This likely reflects higher surgical invasiveness and longer operative duration in our cohort (up to 130 minutes) versus Thabet’s shorter procedures (mean 26.7 ± 4.8 minutes). Similarly, </w:t>
      </w:r>
      <w:r w:rsidRPr="005C1479">
        <w:rPr>
          <w:b/>
          <w:bCs/>
        </w:rPr>
        <w:t xml:space="preserve">Abd Ellateef et al. </w:t>
      </w:r>
      <w:r w:rsidR="00AE72F1" w:rsidRPr="0011555A">
        <w:fldChar w:fldCharType="begin"/>
      </w:r>
      <w:r w:rsidR="00AE72F1" w:rsidRPr="0011555A">
        <w:instrText xml:space="preserve"> ADDIN EN.CITE &lt;EndNote&gt;&lt;Cite&gt;&lt;Author&gt;Abd Elhameed Abd Ellateef&lt;/Author&gt;&lt;Year&gt;2023&lt;/Year&gt;&lt;RecNum&gt;70&lt;/RecNum&gt;&lt;DisplayText&gt;&lt;style face="superscript"&gt;[8]&lt;/style&gt;&lt;/DisplayText&gt;&lt;record&gt;&lt;rec-number&gt;70&lt;/rec-number&gt;&lt;foreign-keys&gt;&lt;key app="EN" db-id="w9sv5pfszaepw1e2wd952229e2er5etdrsdt" timestamp="1756386872"&gt;70&lt;/key&gt;&lt;/foreign-keys&gt;&lt;ref-type name="Journal Article"&gt;17&lt;/ref-type&gt;&lt;contributors&gt;&lt;authors&gt;&lt;author&gt;Abd Elhameed Abd Ellateef, Mohammed Adel&lt;/author&gt;&lt;author&gt;Hassan, Khaled Mohamed&lt;/author&gt;&lt;author&gt;Ali, Ashraf Mamdouh&lt;/author&gt;&lt;author&gt;Sabry, Mohamed&lt;/author&gt;&lt;/authors&gt;&lt;/contributors&gt;&lt;titles&gt;&lt;title&gt;Assessment of WALANT Anaesthesia in Flexor Tendon Repair of the Hand&lt;/title&gt;&lt;secondary-title&gt;Minia Journal of Medical Research&lt;/secondary-title&gt;&lt;short-title&gt;Assessment of WALANT Anaesthesia in Flexor Tendon Repair of the Hand&lt;/short-title&gt;&lt;/titles&gt;&lt;periodical&gt;&lt;full-title&gt;Minia Journal of Medical Research&lt;/full-title&gt;&lt;/periodical&gt;&lt;pages&gt;205-213&lt;/pages&gt;&lt;volume&gt;34&lt;/volume&gt;&lt;number&gt;4&lt;/number&gt;&lt;keywords&gt;&lt;keyword&gt;wide awake technique (WALANT)&lt;/keyword&gt;&lt;keyword&gt;Flexor tendon repair&lt;/keyword&gt;&lt;keyword&gt;VAS score&lt;/keyword&gt;&lt;/keywords&gt;&lt;dates&gt;&lt;year&gt;2023&lt;/year&gt;&lt;/dates&gt;&lt;urls&gt;&lt;related-urls&gt;&lt;url&gt;https://mjmr.journals.ekb.eg/article_286605_ae4deef9004f8b13df3208f9ee548c2b.pdf&lt;/url&gt;&lt;/related-urls&gt;&lt;/urls&gt;&lt;electronic-resource-num&gt;10.21608/mjmr.2023.191725.1333&lt;/electronic-resource-num&gt;&lt;/record&gt;&lt;/Cite&gt;&lt;/EndNote&gt;</w:instrText>
      </w:r>
      <w:r w:rsidR="00AE72F1" w:rsidRPr="0011555A">
        <w:fldChar w:fldCharType="separate"/>
      </w:r>
      <w:r w:rsidR="00AE72F1" w:rsidRPr="0011555A">
        <w:rPr>
          <w:noProof/>
          <w:vertAlign w:val="superscript"/>
        </w:rPr>
        <w:t>[8]</w:t>
      </w:r>
      <w:r w:rsidR="00AE72F1" w:rsidRPr="0011555A">
        <w:fldChar w:fldCharType="end"/>
      </w:r>
      <w:r w:rsidR="00AE72F1" w:rsidRPr="0011555A">
        <w:t xml:space="preserve"> </w:t>
      </w:r>
      <w:r w:rsidRPr="005C1479">
        <w:t>reported VAS 0 intraoperatively and at 1 hour after flexor tendon repair, rising to medians of 2 at 3 hours and 4 at 6 hours, with no severe pain, no anesthetic/vascular complications, and high satisfaction; compared with that controlled case mix, our higher opioid needs likely relate to the inclusion of more invasive open surgeries.</w:t>
      </w:r>
    </w:p>
    <w:p w14:paraId="6C104AA6" w14:textId="39F82547" w:rsidR="005C1479" w:rsidRPr="005C1479" w:rsidRDefault="005C1479" w:rsidP="005C1479">
      <w:pPr>
        <w:pStyle w:val="P"/>
      </w:pPr>
      <w:r w:rsidRPr="005C1479">
        <w:t xml:space="preserve">Regarding pooled comparative evidence, </w:t>
      </w:r>
      <w:r w:rsidRPr="005C1479">
        <w:rPr>
          <w:b/>
          <w:bCs/>
        </w:rPr>
        <w:t xml:space="preserve">Siu et al. </w:t>
      </w:r>
      <w:r w:rsidR="00974E60" w:rsidRPr="0011555A">
        <w:fldChar w:fldCharType="begin">
          <w:fldData xml:space="preserve">PEVuZE5vdGU+PENpdGU+PEF1dGhvcj5TaXU8L0F1dGhvcj48WWVhcj4yMDI0PC9ZZWFyPjxSZWNO
dW0+Njk8L1JlY051bT48RGlzcGxheVRleHQ+PHN0eWxlIGZhY2U9InN1cGVyc2NyaXB0Ij5bOV08
L3N0eWxlPjwvRGlzcGxheVRleHQ+PHJlY29yZD48cmVjLW51bWJlcj42OTwvcmVjLW51bWJlcj48
Zm9yZWlnbi1rZXlzPjxrZXkgYXBwPSJFTiIgZGItaWQ9Inc5c3Y1cGZzemFlcHcxZTJ3ZDk1MjIy
OWUyZXI1ZXRkcnNkdCIgdGltZXN0YW1wPSIxNzU2Mzg2NDQ3Ij42OTwva2V5PjwvZm9yZWlnbi1r
ZXlzPjxyZWYtdHlwZSBuYW1lPSJKb3VybmFsIEFydGljbGUiPjE3PC9yZWYtdHlwZT48Y29udHJp
YnV0b3JzPjxhdXRob3JzPjxhdXRob3I+U2l1LCBBLjwvYXV0aG9yPjxhdXRob3I+V29uZywgUi4g
Uy48L2F1dGhvcj48YXV0aG9yPkFobWVkLCBaLjwvYXV0aG9yPjxhdXRob3I+VGFsd2FyLCBDLjwv
YXV0aG9yPjxhdXRob3I+Tmlra2hhaCwgRC48L2F1dGhvcj48L2F1dGhvcnM+PC9jb250cmlidXRv
cnM+PGF1dGgtYWRkcmVzcz5GYWN1bHR5IG9mIExpZmUgU2NpZW5jZXMgYW5kIE1lZGljaW5lLCBH
S1QgU2Nob29sIG9mIE1lZGljYWwgRWR1Y2F0aW9uLCBLaW5nJmFwb3M7cyBDb2xsZWdlIExvbmRv
biwgTG9uZG9uLCBVbml0ZWQgS2luZ2RvbS4gRWxlY3Ryb25pYyBhZGRyZXNzOiBhbnRob255LnNp
dUBrY2wuYWMudWsuJiN4RDtGYWN1bHR5IG9mIE1lZGljYWwgU2NpZW5jZXMsIFVuaXZlcnNpdHkg
Q29sbGVnZSBMb25kb24gTWVkaWNhbCBTY2hvb2wsIExvbmRvbiwgVW5pdGVkIEtpbmdkb20uJiN4
RDtEZXBhcnRtZW50IG9mIFBsYXN0aWMgYW5kIFJlY29uc3RydWN0aXZlIFN1cmdlcnksIFJveWFs
IEZyZWUgTG9uZG9uIE5IUyBGb3VuZGF0aW9uIFRydXN0LCBMb25kb24sIFVuaXRlZCBLaW5nZG9t
LjwvYXV0aC1hZGRyZXNzPjx0aXRsZXM+PHRpdGxlPlBhdGllbnQgc2F0aXNmYWN0aW9uIHVzaW5n
IHdpZGUtYXdha2UgbG9jYWwgYW5hZXN0aGVzaWEgbm8gdG91cm5pcXVldCAoV0FMQU5UKSBpbiBh
ZHVsdHMgdW5kZXJnb2luZyBlbGVjdGl2ZSBoYW5kIHN1cmdlcnk6IEEgc3lzdGVtYXRpYyByZXZp
ZXcgYW5kIG1ldGEtYW5hbHlzaXM8L3RpdGxlPjxzZWNvbmRhcnktdGl0bGU+SiBQbGFzdCBSZWNv
bnN0ciBBZXN0aGV0IFN1cmc8L3NlY29uZGFyeS10aXRsZT48L3RpdGxlcz48cGVyaW9kaWNhbD48
ZnVsbC10aXRsZT5KIFBsYXN0IFJlY29uc3RyIEFlc3RoZXQgU3VyZzwvZnVsbC10aXRsZT48L3Bl
cmlvZGljYWw+PHBhZ2VzPjQ3NS00ODU8L3BhZ2VzPjx2b2x1bWU+OTk8L3ZvbHVtZT48ZWRpdGlv
bj4yMDI0LzEwLzMxPC9lZGl0aW9uPjxrZXl3b3Jkcz48a2V5d29yZD5IdW1hbnM8L2tleXdvcmQ+
PGtleXdvcmQ+KlBhdGllbnQgU2F0aXNmYWN0aW9uPC9rZXl3b3JkPjxrZXl3b3JkPipBbmVzdGhl
c2lhLCBMb2NhbC9tZXRob2RzPC9rZXl3b3JkPjxrZXl3b3JkPipIYW5kL3N1cmdlcnk8L2tleXdv
cmQ+PGtleXdvcmQ+KkVsZWN0aXZlIFN1cmdpY2FsIFByb2NlZHVyZXMvbWV0aG9kczwva2V5d29y
ZD48a2V5d29yZD5QYWluLCBQb3N0b3BlcmF0aXZlL2V0aW9sb2d5L3ByZXZlbnRpb24gJmFtcDsg
Y29udHJvbDwva2V5d29yZD48a2V5d29yZD5Ub3VybmlxdWV0czwva2V5d29yZD48a2V5d29yZD5B
ZHVsdDwva2V5d29yZD48a2V5d29yZD5BbmVzdGhldGljcywgTG9jYWwvYWRtaW5pc3RyYXRpb24g
JmFtcDsgZG9zYWdlPC9rZXl3b3JkPjxrZXl3b3JkPk9wZXJhdGl2ZSBUaW1lPC9rZXl3b3JkPjxr
ZXl3b3JkPkhhbmQgc3VyZ2VyeTwva2V5d29yZD48a2V5d29yZD5QYXRpZW50IHNhdGlzZmFjdGlv
bjwva2V5d29yZD48a2V5d29yZD5XYWxhbnQ8L2tleXdvcmQ+PGtleXdvcmQ+V2lkZS1hd2FrZSBs
b2NhbCBhbmFlc3RoZXNpYSBubyB0b3VybmlxdWV0PC9rZXl3b3JkPjwva2V5d29yZHM+PGRhdGVz
Pjx5ZWFyPjIwMjQ8L3llYXI+PHB1Yi1kYXRlcz48ZGF0ZT5EZWM8L2RhdGU+PC9wdWItZGF0ZXM+
PC9kYXRlcz48aXNibj4xNzQ4LTY4MTU8L2lzYm4+PGFjY2Vzc2lvbi1udW0+Mzk0NzY1Mjk8L2Fj
Y2Vzc2lvbi1udW0+PHVybHM+PC91cmxzPjxlbGVjdHJvbmljLXJlc291cmNlLW51bT4xMC4xMDE2
L2ouYmpwcy4yMDI0LjEwLjAyNzwvZWxlY3Ryb25pYy1yZXNvdXJjZS1udW0+PHJlbW90ZS1kYXRh
YmFzZS1wcm92aWRlcj5OTE08L3JlbW90ZS1kYXRhYmFzZS1wcm92aWRlcj48bGFuZ3VhZ2U+ZW5n
PC9sYW5ndWFnZT48L3JlY29yZD48L0NpdGU+PC9FbmROb3RlPn==
</w:fldData>
        </w:fldChar>
      </w:r>
      <w:r w:rsidR="006F3821" w:rsidRPr="0011555A">
        <w:instrText xml:space="preserve"> ADDIN EN.CITE </w:instrText>
      </w:r>
      <w:r w:rsidR="006F3821" w:rsidRPr="0011555A">
        <w:fldChar w:fldCharType="begin">
          <w:fldData xml:space="preserve">PEVuZE5vdGU+PENpdGU+PEF1dGhvcj5TaXU8L0F1dGhvcj48WWVhcj4yMDI0PC9ZZWFyPjxSZWNO
dW0+Njk8L1JlY051bT48RGlzcGxheVRleHQ+PHN0eWxlIGZhY2U9InN1cGVyc2NyaXB0Ij5bOV08
L3N0eWxlPjwvRGlzcGxheVRleHQ+PHJlY29yZD48cmVjLW51bWJlcj42OTwvcmVjLW51bWJlcj48
Zm9yZWlnbi1rZXlzPjxrZXkgYXBwPSJFTiIgZGItaWQ9Inc5c3Y1cGZzemFlcHcxZTJ3ZDk1MjIy
OWUyZXI1ZXRkcnNkdCIgdGltZXN0YW1wPSIxNzU2Mzg2NDQ3Ij42OTwva2V5PjwvZm9yZWlnbi1r
ZXlzPjxyZWYtdHlwZSBuYW1lPSJKb3VybmFsIEFydGljbGUiPjE3PC9yZWYtdHlwZT48Y29udHJp
YnV0b3JzPjxhdXRob3JzPjxhdXRob3I+U2l1LCBBLjwvYXV0aG9yPjxhdXRob3I+V29uZywgUi4g
Uy48L2F1dGhvcj48YXV0aG9yPkFobWVkLCBaLjwvYXV0aG9yPjxhdXRob3I+VGFsd2FyLCBDLjwv
YXV0aG9yPjxhdXRob3I+Tmlra2hhaCwgRC48L2F1dGhvcj48L2F1dGhvcnM+PC9jb250cmlidXRv
cnM+PGF1dGgtYWRkcmVzcz5GYWN1bHR5IG9mIExpZmUgU2NpZW5jZXMgYW5kIE1lZGljaW5lLCBH
S1QgU2Nob29sIG9mIE1lZGljYWwgRWR1Y2F0aW9uLCBLaW5nJmFwb3M7cyBDb2xsZWdlIExvbmRv
biwgTG9uZG9uLCBVbml0ZWQgS2luZ2RvbS4gRWxlY3Ryb25pYyBhZGRyZXNzOiBhbnRob255LnNp
dUBrY2wuYWMudWsuJiN4RDtGYWN1bHR5IG9mIE1lZGljYWwgU2NpZW5jZXMsIFVuaXZlcnNpdHkg
Q29sbGVnZSBMb25kb24gTWVkaWNhbCBTY2hvb2wsIExvbmRvbiwgVW5pdGVkIEtpbmdkb20uJiN4
RDtEZXBhcnRtZW50IG9mIFBsYXN0aWMgYW5kIFJlY29uc3RydWN0aXZlIFN1cmdlcnksIFJveWFs
IEZyZWUgTG9uZG9uIE5IUyBGb3VuZGF0aW9uIFRydXN0LCBMb25kb24sIFVuaXRlZCBLaW5nZG9t
LjwvYXV0aC1hZGRyZXNzPjx0aXRsZXM+PHRpdGxlPlBhdGllbnQgc2F0aXNmYWN0aW9uIHVzaW5n
IHdpZGUtYXdha2UgbG9jYWwgYW5hZXN0aGVzaWEgbm8gdG91cm5pcXVldCAoV0FMQU5UKSBpbiBh
ZHVsdHMgdW5kZXJnb2luZyBlbGVjdGl2ZSBoYW5kIHN1cmdlcnk6IEEgc3lzdGVtYXRpYyByZXZp
ZXcgYW5kIG1ldGEtYW5hbHlzaXM8L3RpdGxlPjxzZWNvbmRhcnktdGl0bGU+SiBQbGFzdCBSZWNv
bnN0ciBBZXN0aGV0IFN1cmc8L3NlY29uZGFyeS10aXRsZT48L3RpdGxlcz48cGVyaW9kaWNhbD48
ZnVsbC10aXRsZT5KIFBsYXN0IFJlY29uc3RyIEFlc3RoZXQgU3VyZzwvZnVsbC10aXRsZT48L3Bl
cmlvZGljYWw+PHBhZ2VzPjQ3NS00ODU8L3BhZ2VzPjx2b2x1bWU+OTk8L3ZvbHVtZT48ZWRpdGlv
bj4yMDI0LzEwLzMxPC9lZGl0aW9uPjxrZXl3b3Jkcz48a2V5d29yZD5IdW1hbnM8L2tleXdvcmQ+
PGtleXdvcmQ+KlBhdGllbnQgU2F0aXNmYWN0aW9uPC9rZXl3b3JkPjxrZXl3b3JkPipBbmVzdGhl
c2lhLCBMb2NhbC9tZXRob2RzPC9rZXl3b3JkPjxrZXl3b3JkPipIYW5kL3N1cmdlcnk8L2tleXdv
cmQ+PGtleXdvcmQ+KkVsZWN0aXZlIFN1cmdpY2FsIFByb2NlZHVyZXMvbWV0aG9kczwva2V5d29y
ZD48a2V5d29yZD5QYWluLCBQb3N0b3BlcmF0aXZlL2V0aW9sb2d5L3ByZXZlbnRpb24gJmFtcDsg
Y29udHJvbDwva2V5d29yZD48a2V5d29yZD5Ub3VybmlxdWV0czwva2V5d29yZD48a2V5d29yZD5B
ZHVsdDwva2V5d29yZD48a2V5d29yZD5BbmVzdGhldGljcywgTG9jYWwvYWRtaW5pc3RyYXRpb24g
JmFtcDsgZG9zYWdlPC9rZXl3b3JkPjxrZXl3b3JkPk9wZXJhdGl2ZSBUaW1lPC9rZXl3b3JkPjxr
ZXl3b3JkPkhhbmQgc3VyZ2VyeTwva2V5d29yZD48a2V5d29yZD5QYXRpZW50IHNhdGlzZmFjdGlv
bjwva2V5d29yZD48a2V5d29yZD5XYWxhbnQ8L2tleXdvcmQ+PGtleXdvcmQ+V2lkZS1hd2FrZSBs
b2NhbCBhbmFlc3RoZXNpYSBubyB0b3VybmlxdWV0PC9rZXl3b3JkPjwva2V5d29yZHM+PGRhdGVz
Pjx5ZWFyPjIwMjQ8L3llYXI+PHB1Yi1kYXRlcz48ZGF0ZT5EZWM8L2RhdGU+PC9wdWItZGF0ZXM+
PC9kYXRlcz48aXNibj4xNzQ4LTY4MTU8L2lzYm4+PGFjY2Vzc2lvbi1udW0+Mzk0NzY1Mjk8L2Fj
Y2Vzc2lvbi1udW0+PHVybHM+PC91cmxzPjxlbGVjdHJvbmljLXJlc291cmNlLW51bT4xMC4xMDE2
L2ouYmpwcy4yMDI0LjEwLjAyNzwvZWxlY3Ryb25pYy1yZXNvdXJjZS1udW0+PHJlbW90ZS1kYXRh
YmFzZS1wcm92aWRlcj5OTE08L3JlbW90ZS1kYXRhYmFzZS1wcm92aWRlcj48bGFuZ3VhZ2U+ZW5n
PC9sYW5ndWFnZT48L3JlY29yZD48L0NpdGU+PC9FbmROb3RlPn==
</w:fldData>
        </w:fldChar>
      </w:r>
      <w:r w:rsidR="006F3821" w:rsidRPr="0011555A">
        <w:instrText xml:space="preserve"> ADDIN EN.CITE.DATA </w:instrText>
      </w:r>
      <w:r w:rsidR="006F3821" w:rsidRPr="0011555A">
        <w:fldChar w:fldCharType="end"/>
      </w:r>
      <w:r w:rsidR="00974E60" w:rsidRPr="0011555A">
        <w:fldChar w:fldCharType="separate"/>
      </w:r>
      <w:r w:rsidR="006F3821" w:rsidRPr="0011555A">
        <w:rPr>
          <w:noProof/>
          <w:vertAlign w:val="superscript"/>
        </w:rPr>
        <w:t>[9]</w:t>
      </w:r>
      <w:r w:rsidR="00974E60" w:rsidRPr="0011555A">
        <w:fldChar w:fldCharType="end"/>
      </w:r>
      <w:r w:rsidR="00974E60" w:rsidRPr="0011555A">
        <w:t xml:space="preserve"> </w:t>
      </w:r>
      <w:r w:rsidRPr="005C1479">
        <w:t xml:space="preserve">analyzed 20 studies (1800 patients) comparing WALANT with tourniquet-assisted anesthesia and found significantly higher patient satisfaction with WALANT (SMD 1.01, p = 0.03), with no significant differences in postoperative pain or operative time. Our higher dissatisfaction rate may be attributable to the heavier representation of invasive open procedures (with greater pain and anxiety burden) compared with the mixed elective cases in the meta-analysis. On technique and safety principles, </w:t>
      </w:r>
      <w:r w:rsidRPr="005C1479">
        <w:rPr>
          <w:b/>
          <w:bCs/>
        </w:rPr>
        <w:t xml:space="preserve">Degreef and Lalonde </w:t>
      </w:r>
      <w:r w:rsidR="00DD0B06" w:rsidRPr="0011555A">
        <w:fldChar w:fldCharType="begin"/>
      </w:r>
      <w:r w:rsidR="00990FF2" w:rsidRPr="0011555A">
        <w:instrText xml:space="preserve"> ADDIN EN.CITE &lt;EndNote&gt;&lt;Cite&gt;&lt;Author&gt;Degreef&lt;/Author&gt;&lt;Year&gt;2024&lt;/Year&gt;&lt;RecNum&gt;73&lt;/RecNum&gt;&lt;DisplayText&gt;&lt;style face="superscript"&gt;[2]&lt;/style&gt;&lt;/DisplayText&gt;&lt;record&gt;&lt;rec-number&gt;73&lt;/rec-number&gt;&lt;foreign-keys&gt;&lt;key app="EN" db-id="w9sv5pfszaepw1e2wd952229e2er5etdrsdt" timestamp="1756387971"&gt;73&lt;/key&gt;&lt;/foreign-keys&gt;&lt;ref-type name="Journal Article"&gt;17&lt;/ref-type&gt;&lt;contributors&gt;&lt;authors&gt;&lt;author&gt;Degreef, I.&lt;/author&gt;&lt;author&gt;Lalonde, D. H.&lt;/author&gt;&lt;/authors&gt;&lt;/contributors&gt;&lt;auth-address&gt;Department of Orthopaedic, Hand Unit, Leuven University Hospitals, Gasthuisberg, Herestraat, Leuven, Belgium.&amp;#xD;Division of Plastic Surgery, Dalhousie University, Saint John, New Brunswick, Canada.&lt;/auth-address&gt;&lt;titles&gt;&lt;title&gt;WALANT surgery of the hand: state of the art&lt;/title&gt;&lt;secondary-title&gt;EFORT Open Rev&lt;/secondary-title&gt;&lt;/titles&gt;&lt;periodical&gt;&lt;full-title&gt;EFORT Open Rev&lt;/full-title&gt;&lt;/periodical&gt;&lt;pages&gt;349-356&lt;/pages&gt;&lt;volume&gt;9&lt;/volume&gt;&lt;number&gt;5&lt;/number&gt;&lt;edition&gt;2024/05/10&lt;/edition&gt;&lt;keywords&gt;&lt;keyword&gt;Dupuytren&lt;/keyword&gt;&lt;keyword&gt;Walant&lt;/keyword&gt;&lt;keyword&gt;hand&lt;/keyword&gt;&lt;keyword&gt;surgery&lt;/keyword&gt;&lt;keyword&gt;tendon&lt;/keyword&gt;&lt;keyword&gt;tourniquet&lt;/keyword&gt;&lt;keyword&gt;as prejudicing the impartiality of this instructional lecture.&lt;/keyword&gt;&lt;/keywords&gt;&lt;dates&gt;&lt;year&gt;2024&lt;/year&gt;&lt;pub-dates&gt;&lt;date&gt;May 10&lt;/date&gt;&lt;/pub-dates&gt;&lt;/dates&gt;&lt;isbn&gt;2058-5241 (Print)&amp;#xD;2058-5241&lt;/isbn&gt;&lt;accession-num&gt;38726975&lt;/accession-num&gt;&lt;urls&gt;&lt;/urls&gt;&lt;custom2&gt;PMC11099575&lt;/custom2&gt;&lt;electronic-resource-num&gt;10.1530/eor-24-0033&lt;/electronic-resource-num&gt;&lt;remote-database-provider&gt;NLM&lt;/remote-database-provider&gt;&lt;language&gt;eng&lt;/language&gt;&lt;/record&gt;&lt;/Cite&gt;&lt;/EndNote&gt;</w:instrText>
      </w:r>
      <w:r w:rsidR="00DD0B06" w:rsidRPr="0011555A">
        <w:fldChar w:fldCharType="separate"/>
      </w:r>
      <w:r w:rsidR="00990FF2" w:rsidRPr="0011555A">
        <w:rPr>
          <w:noProof/>
          <w:vertAlign w:val="superscript"/>
        </w:rPr>
        <w:t>[2]</w:t>
      </w:r>
      <w:r w:rsidR="00DD0B06" w:rsidRPr="0011555A">
        <w:fldChar w:fldCharType="end"/>
      </w:r>
      <w:r w:rsidR="00DD0B06" w:rsidRPr="0011555A">
        <w:t xml:space="preserve"> </w:t>
      </w:r>
      <w:r w:rsidRPr="005C1479">
        <w:t>emphasized tumescent infiltration using low-concentration lidocaine with epinephrine (0.25–1% with 1:100,000–1:400,000 epinephrine) and nearly painless injection techniques using fine-gauge needles as key to safe application.</w:t>
      </w:r>
    </w:p>
    <w:p w14:paraId="480CAB6E" w14:textId="28492BC1" w:rsidR="005C1479" w:rsidRPr="005C1479" w:rsidRDefault="005C1479" w:rsidP="005940C1">
      <w:pPr>
        <w:pStyle w:val="P"/>
      </w:pPr>
      <w:r w:rsidRPr="005C1479">
        <w:t xml:space="preserve">Procedure type and expectations also influence satisfaction. </w:t>
      </w:r>
      <w:r w:rsidRPr="005C1479">
        <w:rPr>
          <w:b/>
          <w:bCs/>
        </w:rPr>
        <w:t xml:space="preserve">Seretis et al. </w:t>
      </w:r>
      <w:r w:rsidR="00C80BB9" w:rsidRPr="0011555A">
        <w:fldChar w:fldCharType="begin"/>
      </w:r>
      <w:r w:rsidR="00990FF2" w:rsidRPr="0011555A">
        <w:instrText xml:space="preserve"> ADDIN EN.CITE &lt;EndNote&gt;&lt;Cite&gt;&lt;Author&gt;Seretis&lt;/Author&gt;&lt;Year&gt;2023&lt;/Year&gt;&lt;RecNum&gt;71&lt;/RecNum&gt;&lt;DisplayText&gt;&lt;style face="superscript"&gt;[10]&lt;/style&gt;&lt;/DisplayText&gt;&lt;record&gt;&lt;rec-number&gt;71&lt;/rec-number&gt;&lt;foreign-keys&gt;&lt;key app="EN" db-id="w9sv5pfszaepw1e2wd952229e2er5etdrsdt" timestamp="1756387045"&gt;71&lt;/key&gt;&lt;/foreign-keys&gt;&lt;ref-type name="Journal Article"&gt;17&lt;/ref-type&gt;&lt;contributors&gt;&lt;authors&gt;&lt;author&gt;Seretis, K.&lt;/author&gt;&lt;author&gt;Boptsi, A.&lt;/author&gt;&lt;author&gt;Boptsi, E.&lt;/author&gt;&lt;author&gt;Lykoudis, E. G.&lt;/author&gt;&lt;/authors&gt;&lt;/contributors&gt;&lt;auth-address&gt;Department of Plastic Surgery, Medical School, University of Ioannina, 45100 Ioannina, Greece.&lt;/auth-address&gt;&lt;titles&gt;&lt;title&gt;The Efficacy of Wide-Awake Local Anesthesia No Tourniquet (WALANT) in Common Plastic Surgery Operations Performed on the Upper Limbs: A Case-Control Study&lt;/title&gt;&lt;secondary-title&gt;Life (Basel)&lt;/secondary-title&gt;&lt;/titles&gt;&lt;periodical&gt;&lt;full-title&gt;Life (Basel)&lt;/full-title&gt;&lt;/periodical&gt;&lt;volume&gt;13&lt;/volume&gt;&lt;number&gt;2&lt;/number&gt;&lt;edition&gt;2023/02/26&lt;/edition&gt;&lt;keywords&gt;&lt;keyword&gt;Walant&lt;/keyword&gt;&lt;keyword&gt;flap&lt;/keyword&gt;&lt;keyword&gt;local anesthesia&lt;/keyword&gt;&lt;keyword&gt;plastic surgery&lt;/keyword&gt;&lt;keyword&gt;skin grafting&lt;/keyword&gt;&lt;keyword&gt;upper limb&lt;/keyword&gt;&lt;/keywords&gt;&lt;dates&gt;&lt;year&gt;2023&lt;/year&gt;&lt;pub-dates&gt;&lt;date&gt;Feb 4&lt;/date&gt;&lt;/pub-dates&gt;&lt;/dates&gt;&lt;isbn&gt;2075-1729 (Print)&amp;#xD;2075-1729&lt;/isbn&gt;&lt;accession-num&gt;36836799&lt;/accession-num&gt;&lt;urls&gt;&lt;/urls&gt;&lt;custom2&gt;PMC9968130&lt;/custom2&gt;&lt;electronic-resource-num&gt;10.3390/life13020442&lt;/electronic-resource-num&gt;&lt;remote-database-provider&gt;NLM&lt;/remote-database-provider&gt;&lt;language&gt;eng&lt;/language&gt;&lt;/record&gt;&lt;/Cite&gt;&lt;/EndNote&gt;</w:instrText>
      </w:r>
      <w:r w:rsidR="00C80BB9" w:rsidRPr="0011555A">
        <w:fldChar w:fldCharType="separate"/>
      </w:r>
      <w:r w:rsidR="00990FF2" w:rsidRPr="0011555A">
        <w:rPr>
          <w:noProof/>
          <w:vertAlign w:val="superscript"/>
        </w:rPr>
        <w:t>[10]</w:t>
      </w:r>
      <w:r w:rsidR="00C80BB9" w:rsidRPr="0011555A">
        <w:fldChar w:fldCharType="end"/>
      </w:r>
      <w:r w:rsidR="00C80BB9" w:rsidRPr="0011555A">
        <w:t xml:space="preserve"> </w:t>
      </w:r>
      <w:r w:rsidRPr="005C1479">
        <w:t xml:space="preserve">compared WALANT with general/regional anesthesia across 98 upper-limb plastic surgery cases and found similar operation time and complication rates but shorter theatre occupancy and higher satisfaction with WALANT; our higher patient dissatisfaction likely reflects differences in complexity and expectations between plastic/reconstructive work and more invasive bony/tendon surgery. In contrast, </w:t>
      </w:r>
      <w:r w:rsidRPr="005C1479">
        <w:rPr>
          <w:b/>
          <w:bCs/>
        </w:rPr>
        <w:t xml:space="preserve">Lawand et al. </w:t>
      </w:r>
      <w:r w:rsidR="001B0155" w:rsidRPr="0011555A">
        <w:fldChar w:fldCharType="begin"/>
      </w:r>
      <w:r w:rsidR="00AD749E" w:rsidRPr="0011555A">
        <w:instrText xml:space="preserve"> ADDIN EN.CITE &lt;EndNote&gt;&lt;Cite&gt;&lt;Author&gt;Lawand&lt;/Author&gt;&lt;Year&gt;2024&lt;/Year&gt;&lt;RecNum&gt;72&lt;/RecNum&gt;&lt;DisplayText&gt;&lt;style face="superscript"&gt;[11]&lt;/style&gt;&lt;/DisplayText&gt;&lt;record&gt;&lt;rec-number&gt;72&lt;/rec-number&gt;&lt;foreign-keys&gt;&lt;key app="EN" db-id="w9sv5pfszaepw1e2wd952229e2er5etdrsdt" timestamp="1756387455"&gt;72&lt;/key&gt;&lt;/foreign-keys&gt;&lt;ref-type name="Journal Article"&gt;17&lt;/ref-type&gt;&lt;contributors&gt;&lt;authors&gt;&lt;author&gt;Lawand, J.&lt;/author&gt;&lt;author&gt;Hantouly, A.&lt;/author&gt;&lt;author&gt;Bouri, F.&lt;/author&gt;&lt;author&gt;Muneer, M.&lt;/author&gt;&lt;author&gt;Hagert, E.&lt;/author&gt;&lt;/authors&gt;&lt;/contributors&gt;&lt;auth-address&gt;University of Texas Medical Branch, Galveston, TX.&amp;#xD;Department of Orthopedic Surgery, Hamad Medical Cooperation, Doha, Qatar.&amp;#xD;Department of Plastic Surgery, Hamad Medical Corporation, Doha, Qatar.&amp;#xD;Department of Surgery, Aspetar Orthopaedic and Sports Medicine Hospital, Doha, Qatar.&amp;#xD;Department of Clinical Science and Education, Karolinska Institutet, Stockholm, Sweden.&lt;/auth-address&gt;&lt;titles&gt;&lt;title&gt;Reporting Clinical Outcomes in Hand Surgery Randomized Controlled Trials: A Systematic Review Using Wide-Awake Local Anesthesia No Tourniquet Studies as a Model&lt;/title&gt;&lt;secondary-title&gt;J Hand Surg Glob Online&lt;/secondary-title&gt;&lt;/titles&gt;&lt;periodical&gt;&lt;full-title&gt;J Hand Surg Glob Online&lt;/full-title&gt;&lt;/periodical&gt;&lt;pages&gt;875-881&lt;/pages&gt;&lt;volume&gt;6&lt;/volume&gt;&lt;number&gt;6&lt;/number&gt;&lt;edition&gt;2024/12/20&lt;/edition&gt;&lt;keywords&gt;&lt;keyword&gt;Clinical outcomes&lt;/keyword&gt;&lt;keyword&gt;Hand surgery&lt;/keyword&gt;&lt;keyword&gt;Patient-reported outcomes&lt;/keyword&gt;&lt;keyword&gt;Randomized controlled trials&lt;/keyword&gt;&lt;keyword&gt;WALANT&lt;/keyword&gt;&lt;keyword&gt;to this article.&lt;/keyword&gt;&lt;/keywords&gt;&lt;dates&gt;&lt;year&gt;2024&lt;/year&gt;&lt;pub-dates&gt;&lt;date&gt;Nov&lt;/date&gt;&lt;/pub-dates&gt;&lt;/dates&gt;&lt;isbn&gt;2589-5141&lt;/isbn&gt;&lt;accession-num&gt;39703598&lt;/accession-num&gt;&lt;urls&gt;&lt;/urls&gt;&lt;custom2&gt;PMC11652286&lt;/custom2&gt;&lt;electronic-resource-num&gt;10.1016/j.jhsg.2024.08.007&lt;/electronic-resource-num&gt;&lt;remote-database-provider&gt;NLM&lt;/remote-database-provider&gt;&lt;language&gt;eng&lt;/language&gt;&lt;/record&gt;&lt;/Cite&gt;&lt;/EndNote&gt;</w:instrText>
      </w:r>
      <w:r w:rsidR="001B0155" w:rsidRPr="0011555A">
        <w:fldChar w:fldCharType="separate"/>
      </w:r>
      <w:r w:rsidR="00AD749E" w:rsidRPr="0011555A">
        <w:rPr>
          <w:noProof/>
          <w:vertAlign w:val="superscript"/>
        </w:rPr>
        <w:t>[11]</w:t>
      </w:r>
      <w:r w:rsidR="001B0155" w:rsidRPr="0011555A">
        <w:fldChar w:fldCharType="end"/>
      </w:r>
      <w:r w:rsidR="001B0155" w:rsidRPr="0011555A">
        <w:t xml:space="preserve"> </w:t>
      </w:r>
      <w:r w:rsidR="005940C1" w:rsidRPr="0011555A">
        <w:t>highlighted limitations in WALANT evidence reporting: RCTs frequently focus on technical outcomes (adequacy of anesthesia, hemostasis, operative duration, conversion rates) while functional outcomes (e.g., range of motion, grip strength, DASH/</w:t>
      </w:r>
      <w:proofErr w:type="spellStart"/>
      <w:r w:rsidR="005940C1" w:rsidRPr="0011555A">
        <w:t>QuickDASH</w:t>
      </w:r>
      <w:proofErr w:type="spellEnd"/>
      <w:r w:rsidR="005940C1" w:rsidRPr="0011555A">
        <w:t>) and patient-reported outcomes (pain, satisfaction, anxiety, willingness to repeat WALANT) are inconsistently documented.</w:t>
      </w:r>
      <w:r w:rsidRPr="005C1479">
        <w:t xml:space="preserve"> Broadening the perspective, </w:t>
      </w:r>
      <w:r w:rsidRPr="005C1479">
        <w:rPr>
          <w:b/>
          <w:bCs/>
        </w:rPr>
        <w:t xml:space="preserve">Abdullah </w:t>
      </w:r>
      <w:r w:rsidR="0037222E" w:rsidRPr="0011555A">
        <w:fldChar w:fldCharType="begin"/>
      </w:r>
      <w:r w:rsidR="00AD749E" w:rsidRPr="0011555A">
        <w:instrText xml:space="preserve"> ADDIN EN.CITE &lt;EndNote&gt;&lt;Cite&gt;&lt;Author&gt;Abdullah&lt;/Author&gt;&lt;Year&gt;2023&lt;/Year&gt;&lt;RecNum&gt;2367&lt;/RecNum&gt;&lt;DisplayText&gt;&lt;style face="superscript"&gt;[12]&lt;/style&gt;&lt;/DisplayText&gt;&lt;record&gt;&lt;rec-number&gt;2367&lt;/rec-number&gt;&lt;foreign-keys&gt;&lt;key app="EN" db-id="0ess9a5pmezw2pe0zfl5fpszxwrexazfe9pe" timestamp="1737470846"&gt;2367&lt;/key&gt;&lt;/foreign-keys&gt;&lt;ref-type name="Journal Article"&gt;17&lt;/ref-type&gt;&lt;contributors&gt;&lt;authors&gt;&lt;author&gt;Abdullah, S.&lt;/author&gt;&lt;author&gt;Tokiran, M. F.&lt;/author&gt;&lt;author&gt;Ahmad, A. A.&lt;/author&gt;&lt;author&gt;Soh, E. Z. F.&lt;/author&gt;&lt;author&gt;Makpol, S.&lt;/author&gt;&lt;author&gt;Sapuan, J.&lt;/author&gt;&lt;/authors&gt;&lt;/contributors&gt;&lt;auth-address&gt;Hand and Microsurgery Unit, Department of Orthopaedics and Traumatology, Hospital Canselor Tuanku Muhriz, Universiti Kebangasaan Malaysia, Kuala Lumpur, Malaysia.&amp;#xD;Department of Orthopaedics and Traumatology, Hospital Canselor Tuanku Muhriz, Universiti Kebangasaan Malaysia, Kuala Lumpur, Malaysia.&amp;#xD;Prince Court Medical Center, Kuala Lumpur, Malaysia.&amp;#xD;Department of Biochemistry, Faculty of Medicine, Universiti Kebangsaan Malaysia, Kuala Lumpur, Malaysia.&lt;/auth-address&gt;&lt;titles&gt;&lt;title&gt;Safety of Lidocaine During Wide-Awake Local Anesthesia No Tourniquet for Distal Radius Plating&lt;/title&gt;&lt;secondary-title&gt;J Hand Surg Glob Online&lt;/secondary-title&gt;&lt;/titles&gt;&lt;periodical&gt;&lt;full-title&gt;J Hand Surg Glob Online&lt;/full-title&gt;&lt;/periodical&gt;&lt;pages&gt;196-200&lt;/pages&gt;&lt;volume&gt;5&lt;/volume&gt;&lt;number&gt;2&lt;/number&gt;&lt;edition&gt;2023/03/29&lt;/edition&gt;&lt;keywords&gt;&lt;keyword&gt;Distal radius plating&lt;/keyword&gt;&lt;keyword&gt;Lidocaine in adrenaline&lt;/keyword&gt;&lt;keyword&gt;Lidocaine toxicity&lt;/keyword&gt;&lt;keyword&gt;Walant&lt;/keyword&gt;&lt;/keywords&gt;&lt;dates&gt;&lt;year&gt;2023&lt;/year&gt;&lt;pub-dates&gt;&lt;date&gt;Mar&lt;/date&gt;&lt;/pub-dates&gt;&lt;/dates&gt;&lt;isbn&gt;2589-5141&lt;/isbn&gt;&lt;accession-num&gt;36974291&lt;/accession-num&gt;&lt;urls&gt;&lt;/urls&gt;&lt;custom2&gt;PMC10039303&lt;/custom2&gt;&lt;electronic-resource-num&gt;10.1016/j.jhsg.2022.12.003&lt;/electronic-resource-num&gt;&lt;remote-database-provider&gt;NLM&lt;/remote-database-provider&gt;&lt;language&gt;eng&lt;/language&gt;&lt;/record&gt;&lt;/Cite&gt;&lt;/EndNote&gt;</w:instrText>
      </w:r>
      <w:r w:rsidR="0037222E" w:rsidRPr="0011555A">
        <w:fldChar w:fldCharType="separate"/>
      </w:r>
      <w:r w:rsidR="00AD749E" w:rsidRPr="0011555A">
        <w:rPr>
          <w:noProof/>
          <w:vertAlign w:val="superscript"/>
        </w:rPr>
        <w:t>[12]</w:t>
      </w:r>
      <w:r w:rsidR="0037222E" w:rsidRPr="0011555A">
        <w:fldChar w:fldCharType="end"/>
      </w:r>
      <w:r w:rsidRPr="005C1479">
        <w:t xml:space="preserve"> emphasized WALANT’s global rise and its added value in enabling intraoperative tendon-gliding assessment, fracture malrotation correction, and dynamic evaluation, while cautioning that patient selection remains crucial (e.g., </w:t>
      </w:r>
      <w:proofErr w:type="spellStart"/>
      <w:r w:rsidRPr="005C1479">
        <w:t>hyperanxious</w:t>
      </w:r>
      <w:proofErr w:type="spellEnd"/>
      <w:r w:rsidRPr="005C1479">
        <w:t xml:space="preserve"> individuals or those with severe vascular disease may not be ideal candidates).</w:t>
      </w:r>
    </w:p>
    <w:p w14:paraId="29196ECF" w14:textId="0692EEB8" w:rsidR="005C1479" w:rsidRPr="005C1479" w:rsidRDefault="005C1479" w:rsidP="005C1479">
      <w:pPr>
        <w:pStyle w:val="P"/>
      </w:pPr>
      <w:r w:rsidRPr="005C1479">
        <w:t xml:space="preserve">Randomized and comparative studies reinforce benefits in selected procedures. </w:t>
      </w:r>
      <w:r w:rsidRPr="005C1479">
        <w:rPr>
          <w:b/>
          <w:bCs/>
        </w:rPr>
        <w:t xml:space="preserve">Ki Lee et al. </w:t>
      </w:r>
      <w:r w:rsidR="00AF2A97" w:rsidRPr="0011555A">
        <w:fldChar w:fldCharType="begin"/>
      </w:r>
      <w:r w:rsidR="00AD749E" w:rsidRPr="0011555A">
        <w:instrText xml:space="preserve"> ADDIN EN.CITE &lt;EndNote&gt;&lt;Cite&gt;&lt;Author&gt;Ki Lee&lt;/Author&gt;&lt;Year&gt;2020&lt;/Year&gt;&lt;RecNum&gt;74&lt;/RecNum&gt;&lt;DisplayText&gt;&lt;style face="superscript"&gt;[13]&lt;/style&gt;&lt;/DisplayText&gt;&lt;record&gt;&lt;rec-number&gt;74&lt;/rec-number&gt;&lt;foreign-keys&gt;&lt;key app="EN" db-id="w9sv5pfszaepw1e2wd952229e2er5etdrsdt" timestamp="1756395693"&gt;74&lt;/key&gt;&lt;/foreign-keys&gt;&lt;ref-type name="Journal Article"&gt;17&lt;/ref-type&gt;&lt;contributors&gt;&lt;authors&gt;&lt;author&gt;Ki Lee, S.&lt;/author&gt;&lt;author&gt;Gul Kim, S.&lt;/author&gt;&lt;author&gt;Sik Choy, W.&lt;/author&gt;&lt;/authors&gt;&lt;/contributors&gt;&lt;auth-address&gt;Department of Orthopedic Surgery, Eulji University College of Medicine, Daejeon, Korea. Electronic address: sklee@eulji.ac.kr.&amp;#xD;Department of Orthopedic Surgery, Eulji University College of Medicine, Daejeon, Korea.&lt;/auth-address&gt;&lt;titles&gt;&lt;title&gt;A randomized controlled trial of minor hand surgeries comparing wide awake local anesthesia no tourniquet and local anesthesia with tourniquet&lt;/title&gt;&lt;secondary-title&gt;Orthop Traumatol Surg Res&lt;/secondary-title&gt;&lt;/titles&gt;&lt;periodical&gt;&lt;full-title&gt;Orthop Traumatol Surg Res&lt;/full-title&gt;&lt;/periodical&gt;&lt;pages&gt;1645-1651&lt;/pages&gt;&lt;volume&gt;106&lt;/volume&gt;&lt;number&gt;8&lt;/number&gt;&lt;edition&gt;2020/07/08&lt;/edition&gt;&lt;keywords&gt;&lt;keyword&gt;*Anesthesia, Local&lt;/keyword&gt;&lt;keyword&gt;Anesthetics, Local&lt;/keyword&gt;&lt;keyword&gt;Epinephrine&lt;/keyword&gt;&lt;keyword&gt;Hand&lt;/keyword&gt;&lt;keyword&gt;Humans&lt;/keyword&gt;&lt;keyword&gt;Lidocaine&lt;/keyword&gt;&lt;keyword&gt;Prospective Studies&lt;/keyword&gt;&lt;keyword&gt;Tourniquets&lt;/keyword&gt;&lt;keyword&gt;*Trigger Finger Disorder&lt;/keyword&gt;&lt;keyword&gt;Sodium bicarbonate&lt;/keyword&gt;&lt;keyword&gt;Walant&lt;/keyword&gt;&lt;/keywords&gt;&lt;dates&gt;&lt;year&gt;2020&lt;/year&gt;&lt;pub-dates&gt;&lt;date&gt;Dec&lt;/date&gt;&lt;/pub-dates&gt;&lt;/dates&gt;&lt;isbn&gt;1877-0568&lt;/isbn&gt;&lt;accession-num&gt;32631713&lt;/accession-num&gt;&lt;urls&gt;&lt;/urls&gt;&lt;electronic-resource-num&gt;10.1016/j.otsr.2020.03.013&lt;/electronic-resource-num&gt;&lt;remote-database-provider&gt;NLM&lt;/remote-database-provider&gt;&lt;language&gt;eng&lt;/language&gt;&lt;/record&gt;&lt;/Cite&gt;&lt;/EndNote&gt;</w:instrText>
      </w:r>
      <w:r w:rsidR="00AF2A97" w:rsidRPr="0011555A">
        <w:fldChar w:fldCharType="separate"/>
      </w:r>
      <w:r w:rsidR="00AD749E" w:rsidRPr="0011555A">
        <w:rPr>
          <w:noProof/>
          <w:vertAlign w:val="superscript"/>
        </w:rPr>
        <w:t>[13]</w:t>
      </w:r>
      <w:r w:rsidR="00AF2A97" w:rsidRPr="0011555A">
        <w:fldChar w:fldCharType="end"/>
      </w:r>
      <w:r w:rsidRPr="005C1479">
        <w:t xml:space="preserve">, in a randomized prospective trial, found WALANT reduced injection pain, prolonged anesthetic duration, lowered early postoperative pain (especially around 6 hours), reduced analgesic consumption until day 2, and increased satisfaction across carpal tunnel release, trigger finger release, and de </w:t>
      </w:r>
      <w:proofErr w:type="spellStart"/>
      <w:r w:rsidRPr="005C1479">
        <w:t>Quervain’s</w:t>
      </w:r>
      <w:proofErr w:type="spellEnd"/>
      <w:r w:rsidRPr="005C1479">
        <w:t xml:space="preserve"> surgery. Beyond routine elective surgery, </w:t>
      </w:r>
      <w:r w:rsidRPr="005C1479">
        <w:rPr>
          <w:b/>
          <w:bCs/>
        </w:rPr>
        <w:t xml:space="preserve">Mohammed and Lalonde </w:t>
      </w:r>
      <w:r w:rsidR="00A845CE" w:rsidRPr="0011555A">
        <w:rPr>
          <w:shd w:val="clear" w:color="auto" w:fill="FFFFFF"/>
        </w:rPr>
        <w:fldChar w:fldCharType="begin">
          <w:fldData xml:space="preserve">PEVuZE5vdGU+PENpdGU+PEF1dGhvcj5Nb2hhbW1lZDwvQXV0aG9yPjxZZWFyPjIwMTk8L1llYXI+
PFJlY051bT43NTwvUmVjTnVtPjxEaXNwbGF5VGV4dD48c3R5bGUgZmFjZT0ic3VwZXJzY3JpcHQi
PlsxNF08L3N0eWxlPjwvRGlzcGxheVRleHQ+PHJlY29yZD48cmVjLW51bWJlcj43NTwvcmVjLW51
bWJlcj48Zm9yZWlnbi1rZXlzPjxrZXkgYXBwPSJFTiIgZGItaWQ9Inc5c3Y1cGZzemFlcHcxZTJ3
ZDk1MjIyOWUyZXI1ZXRkcnNkdCIgdGltZXN0YW1wPSIxNzU2Mzk1NzE0Ij43NTwva2V5PjwvZm9y
ZWlnbi1rZXlzPjxyZWYtdHlwZSBuYW1lPSJKb3VybmFsIEFydGljbGUiPjE3PC9yZWYtdHlwZT48
Y29udHJpYnV0b3JzPjxhdXRob3JzPjxhdXRob3I+TW9oYW1tZWQsIEEuIEsuPC9hdXRob3I+PGF1
dGhvcj5MYWxvbmRlLCBELiBILjwvYXV0aG9yPjwvYXV0aG9ycz48L2NvbnRyaWJ1dG9ycz48YXV0
aC1hZGRyZXNzPk9ydGhvcGVkaWNzLCBEYW1pZW4gRm91bmRhdGlvbiBIb3NwaXRhbCwgQmhha3Ro
YXZhdHNhbGEgTmFnYXIsIE5lbGxvcmUsIEFuZGhyYSBQcmFkZXNoIDUyNDAwNCwgSW5kaWEuIEVs
ZWN0cm9uaWMgYWRkcmVzczogYWtiYXJtYXN0QGdtYWlsLmNvbS4mI3hEO0RpdmlzaW9uIG9mIFBs
YXN0aWMgU3VyZ2VyeSwgRGFsaG91c2llIFVuaXZlcnNpdHksIERhbGhvdXNpZSBNZWRpY2luZSBO
ZXcgQnJ1bnN3aWNrLCBTdWl0ZSBDMjA0LCA2MDAgTWFpbiBTdHJlZXQsIFNhaW50IEpvaG4sIE5l
dyBCcnVuc3dpY2sgRTJLIDFKNSwgQ2FuYWRhLjwvYXV0aC1hZGRyZXNzPjx0aXRsZXM+PHRpdGxl
PldpZGUgQXdha2UgVGVuZG9uIFRyYW5zZmVycyBpbiBMZXByb3N5IFBhdGllbnRzIGluIEluZGlh
PC90aXRsZT48c2Vjb25kYXJ5LXRpdGxlPkhhbmQgQ2xpbjwvc2Vjb25kYXJ5LXRpdGxlPjwvdGl0
bGVzPjxwZXJpb2RpY2FsPjxmdWxsLXRpdGxlPkhhbmQgQ2xpbjwvZnVsbC10aXRsZT48L3Blcmlv
ZGljYWw+PHBhZ2VzPjY3LTg0PC9wYWdlcz48dm9sdW1lPjM1PC92b2x1bWU+PG51bWJlcj4xPC9u
dW1iZXI+PGVkaXRpb24+MjAxOC8xMS8yNTwvZWRpdGlvbj48a2V5d29yZHM+PGtleXdvcmQ+QWRv
bGVzY2VudDwva2V5d29yZD48a2V5d29yZD5BZHVsdDwva2V5d29yZD48a2V5d29yZD4qQW1idWxh
dG9yeSBTdXJnaWNhbCBQcm9jZWR1cmVzPC9rZXl3b3JkPjxrZXl3b3JkPipBbmVzdGhlc2lhLCBM
b2NhbDwva2V5d29yZD48a2V5d29yZD5BbmVzdGhldGljcywgTG9jYWwvYWRtaW5pc3RyYXRpb24g
JmFtcDsgZG9zYWdlPC9rZXl3b3JkPjxrZXl3b3JkPkVwaW5lcGhyaW5lL2FkbWluaXN0cmF0aW9u
ICZhbXA7IGRvc2FnZTwva2V5d29yZD48a2V5d29yZD5GZW1hbGU8L2tleXdvcmQ+PGtleXdvcmQ+
SGFuZC8qc3VyZ2VyeTwva2V5d29yZD48a2V5d29yZD5IdW1hbnM8L2tleXdvcmQ+PGtleXdvcmQ+
SW5kaWE8L2tleXdvcmQ+PGtleXdvcmQ+TGVwcm9zeS8qY29tcGxpY2F0aW9uczwva2V5d29yZD48
a2V5d29yZD5MaWRvY2FpbmUvYWRtaW5pc3RyYXRpb24gJmFtcDsgZG9zYWdlPC9rZXl3b3JkPjxr
ZXl3b3JkPk1hbGU8L2tleXdvcmQ+PGtleXdvcmQ+TWlkZGxlIEFnZWQ8L2tleXdvcmQ+PGtleXdv
cmQ+UGVyaXBoZXJhbCBOZXJ2b3VzIFN5c3RlbSBEaXNlYXNlcy9ldGlvbG9neS9zdXJnZXJ5PC9r
ZXl3b3JkPjxrZXl3b3JkPlRlbmRvbiBUcmFuc2Zlci8qbWV0aG9kczwva2V5d29yZD48a2V5d29y
ZD5WYXNvY29uc3RyaWN0b3IgQWdlbnRzL2FkbWluaXN0cmF0aW9uICZhbXA7IGRvc2FnZTwva2V5
d29yZD48a2V5d29yZD5Zb3VuZyBBZHVsdDwva2V5d29yZD48a2V5d29yZD5BZmZvcmRhYmxlIHN1
cmdlcnk8L2tleXdvcmQ+PGtleXdvcmQ+SGFuZCByZWNvbnN0cnVjdGl2ZSBzdXJnZXJ5IGluIGxl
cHJvc3k8L2tleXdvcmQ+PGtleXdvcmQ+U2FmZSBlcGluZXBocmluZSBpbiBmaW5nZXI8L2tleXdv
cmQ+PGtleXdvcmQ+VGVuZG9uIHRyYW5zZmVyIGluIGxlcHJvc3k8L2tleXdvcmQ+PGtleXdvcmQ+
V2FsYW50PC9rZXl3b3JkPjwva2V5d29yZHM+PGRhdGVzPjx5ZWFyPjIwMTk8L3llYXI+PHB1Yi1k
YXRlcz48ZGF0ZT5GZWI8L2RhdGU+PC9wdWItZGF0ZXM+PC9kYXRlcz48aXNibj4wNzQ5LTA3MTI8
L2lzYm4+PGFjY2Vzc2lvbi1udW0+MzA0NzAzMzM8L2FjY2Vzc2lvbi1udW0+PHVybHM+PC91cmxz
PjxlbGVjdHJvbmljLXJlc291cmNlLW51bT4xMC4xMDE2L2ouaGNsLjIwMTguMDkuMDAxPC9lbGVj
dHJvbmljLXJlc291cmNlLW51bT48cmVtb3RlLWRhdGFiYXNlLXByb3ZpZGVyPk5MTTwvcmVtb3Rl
LWRhdGFiYXNlLXByb3ZpZGVyPjxsYW5ndWFnZT5lbmc8L2xhbmd1YWdlPjwvcmVjb3JkPjwvQ2l0
ZT48L0VuZE5vdGU+AG==
</w:fldData>
        </w:fldChar>
      </w:r>
      <w:r w:rsidR="00A845CE" w:rsidRPr="0011555A">
        <w:rPr>
          <w:shd w:val="clear" w:color="auto" w:fill="FFFFFF"/>
        </w:rPr>
        <w:instrText xml:space="preserve"> ADDIN EN.CITE </w:instrText>
      </w:r>
      <w:r w:rsidR="00A845CE" w:rsidRPr="0011555A">
        <w:rPr>
          <w:shd w:val="clear" w:color="auto" w:fill="FFFFFF"/>
        </w:rPr>
        <w:fldChar w:fldCharType="begin">
          <w:fldData xml:space="preserve">PEVuZE5vdGU+PENpdGU+PEF1dGhvcj5Nb2hhbW1lZDwvQXV0aG9yPjxZZWFyPjIwMTk8L1llYXI+
PFJlY051bT43NTwvUmVjTnVtPjxEaXNwbGF5VGV4dD48c3R5bGUgZmFjZT0ic3VwZXJzY3JpcHQi
PlsxNF08L3N0eWxlPjwvRGlzcGxheVRleHQ+PHJlY29yZD48cmVjLW51bWJlcj43NTwvcmVjLW51
bWJlcj48Zm9yZWlnbi1rZXlzPjxrZXkgYXBwPSJFTiIgZGItaWQ9Inc5c3Y1cGZzemFlcHcxZTJ3
ZDk1MjIyOWUyZXI1ZXRkcnNkdCIgdGltZXN0YW1wPSIxNzU2Mzk1NzE0Ij43NTwva2V5PjwvZm9y
ZWlnbi1rZXlzPjxyZWYtdHlwZSBuYW1lPSJKb3VybmFsIEFydGljbGUiPjE3PC9yZWYtdHlwZT48
Y29udHJpYnV0b3JzPjxhdXRob3JzPjxhdXRob3I+TW9oYW1tZWQsIEEuIEsuPC9hdXRob3I+PGF1
dGhvcj5MYWxvbmRlLCBELiBILjwvYXV0aG9yPjwvYXV0aG9ycz48L2NvbnRyaWJ1dG9ycz48YXV0
aC1hZGRyZXNzPk9ydGhvcGVkaWNzLCBEYW1pZW4gRm91bmRhdGlvbiBIb3NwaXRhbCwgQmhha3Ro
YXZhdHNhbGEgTmFnYXIsIE5lbGxvcmUsIEFuZGhyYSBQcmFkZXNoIDUyNDAwNCwgSW5kaWEuIEVs
ZWN0cm9uaWMgYWRkcmVzczogYWtiYXJtYXN0QGdtYWlsLmNvbS4mI3hEO0RpdmlzaW9uIG9mIFBs
YXN0aWMgU3VyZ2VyeSwgRGFsaG91c2llIFVuaXZlcnNpdHksIERhbGhvdXNpZSBNZWRpY2luZSBO
ZXcgQnJ1bnN3aWNrLCBTdWl0ZSBDMjA0LCA2MDAgTWFpbiBTdHJlZXQsIFNhaW50IEpvaG4sIE5l
dyBCcnVuc3dpY2sgRTJLIDFKNSwgQ2FuYWRhLjwvYXV0aC1hZGRyZXNzPjx0aXRsZXM+PHRpdGxl
PldpZGUgQXdha2UgVGVuZG9uIFRyYW5zZmVycyBpbiBMZXByb3N5IFBhdGllbnRzIGluIEluZGlh
PC90aXRsZT48c2Vjb25kYXJ5LXRpdGxlPkhhbmQgQ2xpbjwvc2Vjb25kYXJ5LXRpdGxlPjwvdGl0
bGVzPjxwZXJpb2RpY2FsPjxmdWxsLXRpdGxlPkhhbmQgQ2xpbjwvZnVsbC10aXRsZT48L3Blcmlv
ZGljYWw+PHBhZ2VzPjY3LTg0PC9wYWdlcz48dm9sdW1lPjM1PC92b2x1bWU+PG51bWJlcj4xPC9u
dW1iZXI+PGVkaXRpb24+MjAxOC8xMS8yNTwvZWRpdGlvbj48a2V5d29yZHM+PGtleXdvcmQ+QWRv
bGVzY2VudDwva2V5d29yZD48a2V5d29yZD5BZHVsdDwva2V5d29yZD48a2V5d29yZD4qQW1idWxh
dG9yeSBTdXJnaWNhbCBQcm9jZWR1cmVzPC9rZXl3b3JkPjxrZXl3b3JkPipBbmVzdGhlc2lhLCBM
b2NhbDwva2V5d29yZD48a2V5d29yZD5BbmVzdGhldGljcywgTG9jYWwvYWRtaW5pc3RyYXRpb24g
JmFtcDsgZG9zYWdlPC9rZXl3b3JkPjxrZXl3b3JkPkVwaW5lcGhyaW5lL2FkbWluaXN0cmF0aW9u
ICZhbXA7IGRvc2FnZTwva2V5d29yZD48a2V5d29yZD5GZW1hbGU8L2tleXdvcmQ+PGtleXdvcmQ+
SGFuZC8qc3VyZ2VyeTwva2V5d29yZD48a2V5d29yZD5IdW1hbnM8L2tleXdvcmQ+PGtleXdvcmQ+
SW5kaWE8L2tleXdvcmQ+PGtleXdvcmQ+TGVwcm9zeS8qY29tcGxpY2F0aW9uczwva2V5d29yZD48
a2V5d29yZD5MaWRvY2FpbmUvYWRtaW5pc3RyYXRpb24gJmFtcDsgZG9zYWdlPC9rZXl3b3JkPjxr
ZXl3b3JkPk1hbGU8L2tleXdvcmQ+PGtleXdvcmQ+TWlkZGxlIEFnZWQ8L2tleXdvcmQ+PGtleXdv
cmQ+UGVyaXBoZXJhbCBOZXJ2b3VzIFN5c3RlbSBEaXNlYXNlcy9ldGlvbG9neS9zdXJnZXJ5PC9r
ZXl3b3JkPjxrZXl3b3JkPlRlbmRvbiBUcmFuc2Zlci8qbWV0aG9kczwva2V5d29yZD48a2V5d29y
ZD5WYXNvY29uc3RyaWN0b3IgQWdlbnRzL2FkbWluaXN0cmF0aW9uICZhbXA7IGRvc2FnZTwva2V5
d29yZD48a2V5d29yZD5Zb3VuZyBBZHVsdDwva2V5d29yZD48a2V5d29yZD5BZmZvcmRhYmxlIHN1
cmdlcnk8L2tleXdvcmQ+PGtleXdvcmQ+SGFuZCByZWNvbnN0cnVjdGl2ZSBzdXJnZXJ5IGluIGxl
cHJvc3k8L2tleXdvcmQ+PGtleXdvcmQ+U2FmZSBlcGluZXBocmluZSBpbiBmaW5nZXI8L2tleXdv
cmQ+PGtleXdvcmQ+VGVuZG9uIHRyYW5zZmVyIGluIGxlcHJvc3k8L2tleXdvcmQ+PGtleXdvcmQ+
V2FsYW50PC9rZXl3b3JkPjwva2V5d29yZHM+PGRhdGVzPjx5ZWFyPjIwMTk8L3llYXI+PHB1Yi1k
YXRlcz48ZGF0ZT5GZWI8L2RhdGU+PC9wdWItZGF0ZXM+PC9kYXRlcz48aXNibj4wNzQ5LTA3MTI8
L2lzYm4+PGFjY2Vzc2lvbi1udW0+MzA0NzAzMzM8L2FjY2Vzc2lvbi1udW0+PHVybHM+PC91cmxz
PjxlbGVjdHJvbmljLXJlc291cmNlLW51bT4xMC4xMDE2L2ouaGNsLjIwMTguMDkuMDAxPC9lbGVj
dHJvbmljLXJlc291cmNlLW51bT48cmVtb3RlLWRhdGFiYXNlLXByb3ZpZGVyPk5MTTwvcmVtb3Rl
LWRhdGFiYXNlLXByb3ZpZGVyPjxsYW5ndWFnZT5lbmc8L2xhbmd1YWdlPjwvcmVjb3JkPjwvQ2l0
ZT48L0VuZE5vdGU+AG==
</w:fldData>
        </w:fldChar>
      </w:r>
      <w:r w:rsidR="00A845CE" w:rsidRPr="0011555A">
        <w:rPr>
          <w:shd w:val="clear" w:color="auto" w:fill="FFFFFF"/>
        </w:rPr>
        <w:instrText xml:space="preserve"> ADDIN EN.CITE.DATA </w:instrText>
      </w:r>
      <w:r w:rsidR="00A845CE" w:rsidRPr="0011555A">
        <w:rPr>
          <w:shd w:val="clear" w:color="auto" w:fill="FFFFFF"/>
        </w:rPr>
      </w:r>
      <w:r w:rsidR="00A845CE" w:rsidRPr="0011555A">
        <w:rPr>
          <w:shd w:val="clear" w:color="auto" w:fill="FFFFFF"/>
        </w:rPr>
        <w:fldChar w:fldCharType="end"/>
      </w:r>
      <w:r w:rsidR="00A845CE" w:rsidRPr="0011555A">
        <w:rPr>
          <w:shd w:val="clear" w:color="auto" w:fill="FFFFFF"/>
        </w:rPr>
      </w:r>
      <w:r w:rsidR="00A845CE" w:rsidRPr="0011555A">
        <w:rPr>
          <w:shd w:val="clear" w:color="auto" w:fill="FFFFFF"/>
        </w:rPr>
        <w:fldChar w:fldCharType="separate"/>
      </w:r>
      <w:r w:rsidR="00A845CE" w:rsidRPr="0011555A">
        <w:rPr>
          <w:noProof/>
          <w:shd w:val="clear" w:color="auto" w:fill="FFFFFF"/>
          <w:vertAlign w:val="superscript"/>
        </w:rPr>
        <w:t>[14]</w:t>
      </w:r>
      <w:r w:rsidR="00A845CE" w:rsidRPr="0011555A">
        <w:rPr>
          <w:shd w:val="clear" w:color="auto" w:fill="FFFFFF"/>
        </w:rPr>
        <w:fldChar w:fldCharType="end"/>
      </w:r>
      <w:r w:rsidR="00393000" w:rsidRPr="0011555A">
        <w:rPr>
          <w:shd w:val="clear" w:color="auto" w:fill="FFFFFF"/>
        </w:rPr>
        <w:t xml:space="preserve"> </w:t>
      </w:r>
      <w:r w:rsidRPr="005C1479">
        <w:t xml:space="preserve">described cost-reducing WALANT tendon transfers for leprosy patients in India, and TMJA under WALANT has shown higher satisfaction than general anesthetic/tourniquet approaches in reports by </w:t>
      </w:r>
      <w:r w:rsidRPr="005C1479">
        <w:rPr>
          <w:b/>
          <w:bCs/>
        </w:rPr>
        <w:t xml:space="preserve">Müller et al. </w:t>
      </w:r>
      <w:r w:rsidR="00AD749E" w:rsidRPr="0011555A">
        <w:fldChar w:fldCharType="begin"/>
      </w:r>
      <w:r w:rsidR="00A845CE" w:rsidRPr="0011555A">
        <w:instrText xml:space="preserve"> ADDIN EN.CITE &lt;EndNote&gt;&lt;Cite&gt;&lt;Author&gt;Müller&lt;/Author&gt;&lt;Year&gt;2018&lt;/Year&gt;&lt;RecNum&gt;1208&lt;/RecNum&gt;&lt;DisplayText&gt;&lt;style face="superscript"&gt;[15]&lt;/style&gt;&lt;/DisplayText&gt;&lt;record&gt;&lt;rec-number&gt;1208&lt;/rec-number&gt;&lt;foreign-keys&gt;&lt;key app="EN" db-id="s2t20xewp52vwseffx05e2xrvrzda90xdpws" timestamp="1766417201"&gt;1208&lt;/key&gt;&lt;/foreign-keys&gt;&lt;ref-type name="Journal Article"&gt;17&lt;/ref-type&gt;&lt;contributors&gt;&lt;authors&gt;&lt;author&gt;Müller, C. T.&lt;/author&gt;&lt;author&gt;Christen, T.&lt;/author&gt;&lt;author&gt;Heidekruger, P. I.&lt;/author&gt;&lt;author&gt;Lamouille, J.&lt;/author&gt;&lt;author&gt;Raffoul, W.&lt;/author&gt;&lt;author&gt;McKee, D.&lt;/author&gt;&lt;author&gt;Lalonde, D. H.&lt;/author&gt;&lt;author&gt;Durand, S.&lt;/author&gt;&lt;/authors&gt;&lt;/contributors&gt;&lt;auth-address&gt;Department of the Musculoskeletal System, Hand and Plastic and Reconstructive Surgery, CHUV, Lausanne, Switzerland.&amp;#xD;Centre of Plastic, Aesthetic, Hand and Reconstructive Surgery, University of Regensburg, Germany.&amp;#xD;Plastic Surgery, Dalhousie University, Halifax, Canada.&lt;/auth-address&gt;&lt;titles&gt;&lt;title&gt;Wide-awake Anesthesia No Tourniquet Trapeziometacarpal Joint Prosthesis Implantation&lt;/title&gt;&lt;secondary-title&gt;Plast Reconstr Surg Glob Open&lt;/secondary-title&gt;&lt;/titles&gt;&lt;periodical&gt;&lt;full-title&gt;Plast Reconstr Surg Glob Open&lt;/full-title&gt;&lt;/periodical&gt;&lt;pages&gt;e1714&lt;/pages&gt;&lt;volume&gt;6&lt;/volume&gt;&lt;number&gt;4&lt;/number&gt;&lt;edition&gt;2018/06/08&lt;/edition&gt;&lt;dates&gt;&lt;year&gt;2018&lt;/year&gt;&lt;pub-dates&gt;&lt;date&gt;Apr&lt;/date&gt;&lt;/pub-dates&gt;&lt;/dates&gt;&lt;isbn&gt;2169-7574 (Print)&amp;#xD;2169-7574&lt;/isbn&gt;&lt;accession-num&gt;29876166&lt;/accession-num&gt;&lt;urls&gt;&lt;/urls&gt;&lt;custom2&gt;PMC5977952&lt;/custom2&gt;&lt;electronic-resource-num&gt;10.1097/gox.0000000000001714&lt;/electronic-resource-num&gt;&lt;remote-database-provider&gt;NLM&lt;/remote-database-provider&gt;&lt;language&gt;eng&lt;/language&gt;&lt;/record&gt;&lt;/Cite&gt;&lt;/EndNote&gt;</w:instrText>
      </w:r>
      <w:r w:rsidR="00AD749E" w:rsidRPr="0011555A">
        <w:fldChar w:fldCharType="separate"/>
      </w:r>
      <w:r w:rsidR="00A845CE" w:rsidRPr="0011555A">
        <w:rPr>
          <w:noProof/>
          <w:vertAlign w:val="superscript"/>
        </w:rPr>
        <w:t>[15]</w:t>
      </w:r>
      <w:r w:rsidR="00AD749E" w:rsidRPr="0011555A">
        <w:fldChar w:fldCharType="end"/>
      </w:r>
      <w:r w:rsidRPr="005C1479">
        <w:t xml:space="preserve"> and </w:t>
      </w:r>
      <w:r w:rsidRPr="005C1479">
        <w:rPr>
          <w:b/>
          <w:bCs/>
        </w:rPr>
        <w:t>Larsen and Hansen</w:t>
      </w:r>
      <w:r w:rsidRPr="005C1479">
        <w:t xml:space="preserve"> </w:t>
      </w:r>
      <w:r w:rsidR="00833A62" w:rsidRPr="0011555A">
        <w:fldChar w:fldCharType="begin"/>
      </w:r>
      <w:r w:rsidR="00A845CE" w:rsidRPr="0011555A">
        <w:instrText xml:space="preserve"> ADDIN EN.CITE &lt;EndNote&gt;&lt;Cite&gt;&lt;Author&gt;Larsen&lt;/Author&gt;&lt;Year&gt;2021&lt;/Year&gt;&lt;RecNum&gt;1209&lt;/RecNum&gt;&lt;DisplayText&gt;&lt;style face="superscript"&gt;[16]&lt;/style&gt;&lt;/DisplayText&gt;&lt;record&gt;&lt;rec-number&gt;1209&lt;/rec-number&gt;&lt;foreign-keys&gt;&lt;key app="EN" db-id="s2t20xewp52vwseffx05e2xrvrzda90xdpws" timestamp="1766417243"&gt;1209&lt;/key&gt;&lt;/foreign-keys&gt;&lt;ref-type name="Journal Article"&gt;17&lt;/ref-type&gt;&lt;contributors&gt;&lt;authors&gt;&lt;author&gt;Larsen, L. P.&lt;/author&gt;&lt;author&gt;Hansen, T. B.&lt;/author&gt;&lt;/authors&gt;&lt;/contributors&gt;&lt;auth-address&gt;Department of Orthopaedics, University Clinic, Holstebro, Denmark.&lt;/auth-address&gt;&lt;titles&gt;&lt;title&gt;Total trapeziometacarpal joint arthroplasty using wide awake local anaesthetic no tourniquet&lt;/title&gt;&lt;secondary-title&gt;J Hand Surg Eur Vol&lt;/secondary-title&gt;&lt;/titles&gt;&lt;periodical&gt;&lt;full-title&gt;J Hand Surg Eur Vol&lt;/full-title&gt;&lt;/periodical&gt;&lt;pages&gt;125-130&lt;/pages&gt;&lt;volume&gt;46&lt;/volume&gt;&lt;number&gt;2&lt;/number&gt;&lt;edition&gt;2020/06/23&lt;/edition&gt;&lt;keywords&gt;&lt;keyword&gt;*Anesthesia, Local&lt;/keyword&gt;&lt;keyword&gt;*Anesthetics, Local&lt;/keyword&gt;&lt;keyword&gt;Arthroplasty&lt;/keyword&gt;&lt;keyword&gt;Epinephrine&lt;/keyword&gt;&lt;keyword&gt;Humans&lt;/keyword&gt;&lt;keyword&gt;Reproducibility of Results&lt;/keyword&gt;&lt;keyword&gt;Walant&lt;/keyword&gt;&lt;keyword&gt;Wide awake local anaesthetic no tourniquet&lt;/keyword&gt;&lt;keyword&gt;patient satisfaction&lt;/keyword&gt;&lt;keyword&gt;reliability&lt;/keyword&gt;&lt;keyword&gt;trapeziometacarpal total joint arthroplasty&lt;/keyword&gt;&lt;keyword&gt;wide awake&lt;/keyword&gt;&lt;/keywords&gt;&lt;dates&gt;&lt;year&gt;2021&lt;/year&gt;&lt;pub-dates&gt;&lt;date&gt;Feb&lt;/date&gt;&lt;/pub-dates&gt;&lt;/dates&gt;&lt;isbn&gt;0266-7681&lt;/isbn&gt;&lt;accession-num&gt;32567465&lt;/accession-num&gt;&lt;urls&gt;&lt;/urls&gt;&lt;electronic-resource-num&gt;10.1177/1753193420932465&lt;/electronic-resource-num&gt;&lt;remote-database-provider&gt;NLM&lt;/remote-database-provider&gt;&lt;language&gt;eng&lt;/language&gt;&lt;/record&gt;&lt;/Cite&gt;&lt;/EndNote&gt;</w:instrText>
      </w:r>
      <w:r w:rsidR="00833A62" w:rsidRPr="0011555A">
        <w:fldChar w:fldCharType="separate"/>
      </w:r>
      <w:r w:rsidR="00A845CE" w:rsidRPr="0011555A">
        <w:rPr>
          <w:noProof/>
          <w:vertAlign w:val="superscript"/>
        </w:rPr>
        <w:t>[16]</w:t>
      </w:r>
      <w:r w:rsidR="00833A62" w:rsidRPr="0011555A">
        <w:fldChar w:fldCharType="end"/>
      </w:r>
      <w:r w:rsidRPr="005C1479">
        <w:t xml:space="preserve">. Synthesizing comparative data, </w:t>
      </w:r>
      <w:r w:rsidRPr="005C1479">
        <w:rPr>
          <w:b/>
          <w:bCs/>
        </w:rPr>
        <w:t xml:space="preserve">Evangelista et al. </w:t>
      </w:r>
      <w:r w:rsidR="00DC2B86" w:rsidRPr="0011555A">
        <w:fldChar w:fldCharType="begin"/>
      </w:r>
      <w:r w:rsidR="00A845CE" w:rsidRPr="0011555A">
        <w:instrText xml:space="preserve"> ADDIN EN.CITE &lt;EndNote&gt;&lt;Cite&gt;&lt;Author&gt;Evangelista&lt;/Author&gt;&lt;Year&gt;2019&lt;/Year&gt;&lt;RecNum&gt;78&lt;/RecNum&gt;&lt;DisplayText&gt;&lt;style face="superscript"&gt;[17]&lt;/style&gt;&lt;/DisplayText&gt;&lt;record&gt;&lt;rec-number&gt;78&lt;/rec-number&gt;&lt;foreign-keys&gt;&lt;key app="EN" db-id="w9sv5pfszaepw1e2wd952229e2er5etdrsdt" timestamp="1756395782"&gt;78&lt;/key&gt;&lt;/foreign-keys&gt;&lt;ref-type name="Journal Article"&gt;17&lt;/ref-type&gt;&lt;contributors&gt;&lt;authors&gt;&lt;author&gt;Evangelista, T. M. P.&lt;/author&gt;&lt;author&gt;Pua, J. H. C.&lt;/author&gt;&lt;author&gt;Evangelista-Huber, M. T. P.&lt;/author&gt;&lt;/authors&gt;&lt;/contributors&gt;&lt;auth-address&gt;Department of Orthopedic Surgery, University of Santo Tomas Hospital, Manila, Philippines.&amp;#xD;Levana Dermatology Clinic, Quezon City, Metro Manila, Philippines.&lt;/auth-address&gt;&lt;titles&gt;&lt;title&gt;Wide-Awake Local Anesthesia No Tourniquet (WALANT) versus Local or Intravenous Regional Anesthesia with Tourniquet in Atraumatic Hand Cases in Orthopedics: A Systematic Review and Meta-Analysis&lt;/title&gt;&lt;secondary-title&gt;J Hand Surg Asian Pac Vol&lt;/secondary-title&gt;&lt;/titles&gt;&lt;periodical&gt;&lt;full-title&gt;J Hand Surg Asian Pac Vol&lt;/full-title&gt;&lt;/periodical&gt;&lt;pages&gt;469-476&lt;/pages&gt;&lt;volume&gt;24&lt;/volume&gt;&lt;number&gt;4&lt;/number&gt;&lt;edition&gt;2019/11/07&lt;/edition&gt;&lt;keywords&gt;&lt;keyword&gt;Anesthesia, Conduction/*methods&lt;/keyword&gt;&lt;keyword&gt;Anesthesia, Local/*methods&lt;/keyword&gt;&lt;keyword&gt;Anesthetics, Intravenous/*administration &amp;amp; dosage&lt;/keyword&gt;&lt;keyword&gt;Anesthetics, Local/*administration &amp;amp; dosage&lt;/keyword&gt;&lt;keyword&gt;Hand/*surgery&lt;/keyword&gt;&lt;keyword&gt;Humans&lt;/keyword&gt;&lt;keyword&gt;*Orthopedic Procedures&lt;/keyword&gt;&lt;keyword&gt;*Patient Satisfaction&lt;/keyword&gt;&lt;keyword&gt;Tourniquets&lt;/keyword&gt;&lt;keyword&gt;Epinephrine&lt;/keyword&gt;&lt;keyword&gt;Hand surgery&lt;/keyword&gt;&lt;keyword&gt;Tourniquet&lt;/keyword&gt;&lt;keyword&gt;Walant&lt;/keyword&gt;&lt;keyword&gt;Wide awake&lt;/keyword&gt;&lt;/keywords&gt;&lt;dates&gt;&lt;year&gt;2019&lt;/year&gt;&lt;pub-dates&gt;&lt;date&gt;Dec&lt;/date&gt;&lt;/pub-dates&gt;&lt;/dates&gt;&lt;accession-num&gt;31690188&lt;/accession-num&gt;&lt;urls&gt;&lt;/urls&gt;&lt;electronic-resource-num&gt;10.1142/s2424835519500619&lt;/electronic-resource-num&gt;&lt;remote-database-provider&gt;NLM&lt;/remote-database-provider&gt;&lt;language&gt;eng&lt;/language&gt;&lt;/record&gt;&lt;/Cite&gt;&lt;/EndNote&gt;</w:instrText>
      </w:r>
      <w:r w:rsidR="00DC2B86" w:rsidRPr="0011555A">
        <w:fldChar w:fldCharType="separate"/>
      </w:r>
      <w:r w:rsidR="00A845CE" w:rsidRPr="0011555A">
        <w:rPr>
          <w:noProof/>
          <w:vertAlign w:val="superscript"/>
        </w:rPr>
        <w:t>[17]</w:t>
      </w:r>
      <w:r w:rsidR="00DC2B86" w:rsidRPr="0011555A">
        <w:fldChar w:fldCharType="end"/>
      </w:r>
      <w:r w:rsidR="00DC2B86" w:rsidRPr="0011555A">
        <w:t xml:space="preserve"> </w:t>
      </w:r>
      <w:r w:rsidRPr="005C1479">
        <w:t xml:space="preserve">found WALANT lowered postoperative pain versus IVRA or local anesthesia with tourniquet </w:t>
      </w:r>
      <w:r w:rsidRPr="005C1479">
        <w:lastRenderedPageBreak/>
        <w:t xml:space="preserve">(pooled mean difference –2.40 VAS), with slightly longer operative time and no differences in satisfaction or complication rates. Other studies reported no operative time differences between WALANT and LA/tourniquet in several procedures </w:t>
      </w:r>
      <w:r w:rsidR="00CD6AB4" w:rsidRPr="0011555A">
        <w:t xml:space="preserve">as in </w:t>
      </w:r>
      <w:r w:rsidRPr="005C1479">
        <w:rPr>
          <w:b/>
          <w:bCs/>
        </w:rPr>
        <w:t>Ki Lee et al.</w:t>
      </w:r>
      <w:r w:rsidRPr="005C1479">
        <w:t xml:space="preserve"> </w:t>
      </w:r>
      <w:r w:rsidR="00CD6AB4" w:rsidRPr="0011555A">
        <w:t xml:space="preserve">as well as </w:t>
      </w:r>
      <w:r w:rsidRPr="005C1479">
        <w:rPr>
          <w:b/>
          <w:bCs/>
        </w:rPr>
        <w:t>Larsen and Hansen</w:t>
      </w:r>
      <w:r w:rsidR="00B7636D" w:rsidRPr="0011555A">
        <w:t xml:space="preserve"> </w:t>
      </w:r>
      <w:r w:rsidR="00DE3B12" w:rsidRPr="0011555A">
        <w:rPr>
          <w:shd w:val="clear" w:color="auto" w:fill="FFFFFF"/>
        </w:rPr>
        <w:fldChar w:fldCharType="begin">
          <w:fldData xml:space="preserve">PEVuZE5vdGU+PENpdGU+PEF1dGhvcj5LaSBMZWU8L0F1dGhvcj48WWVhcj4yMDIwPC9ZZWFyPjxS
ZWNOdW0+NzQ8L1JlY051bT48RGlzcGxheVRleHQ+PHN0eWxlIGZhY2U9InN1cGVyc2NyaXB0Ij5b
MTMsIDE2XTwvc3R5bGU+PC9EaXNwbGF5VGV4dD48cmVjb3JkPjxyZWMtbnVtYmVyPjc0PC9yZWMt
bnVtYmVyPjxmb3JlaWduLWtleXM+PGtleSBhcHA9IkVOIiBkYi1pZD0idzlzdjVwZnN6YWVwdzFl
MndkOTUyMjI5ZTJlcjVldGRyc2R0IiB0aW1lc3RhbXA9IjE3NTYzOTU2OTMiPjc0PC9rZXk+PC9m
b3JlaWduLWtleXM+PHJlZi10eXBlIG5hbWU9IkpvdXJuYWwgQXJ0aWNsZSI+MTc8L3JlZi10eXBl
Pjxjb250cmlidXRvcnM+PGF1dGhvcnM+PGF1dGhvcj5LaSBMZWUsIFMuPC9hdXRob3I+PGF1dGhv
cj5HdWwgS2ltLCBTLjwvYXV0aG9yPjxhdXRob3I+U2lrIENob3ksIFcuPC9hdXRob3I+PC9hdXRo
b3JzPjwvY29udHJpYnV0b3JzPjxhdXRoLWFkZHJlc3M+RGVwYXJ0bWVudCBvZiBPcnRob3BlZGlj
IFN1cmdlcnksIEV1bGppIFVuaXZlcnNpdHkgQ29sbGVnZSBvZiBNZWRpY2luZSwgRGFlamVvbiwg
S29yZWEuIEVsZWN0cm9uaWMgYWRkcmVzczogc2tsZWVAZXVsamkuYWMua3IuJiN4RDtEZXBhcnRt
ZW50IG9mIE9ydGhvcGVkaWMgU3VyZ2VyeSwgRXVsamkgVW5pdmVyc2l0eSBDb2xsZWdlIG9mIE1l
ZGljaW5lLCBEYWVqZW9uLCBLb3JlYS48L2F1dGgtYWRkcmVzcz48dGl0bGVzPjx0aXRsZT5BIHJh
bmRvbWl6ZWQgY29udHJvbGxlZCB0cmlhbCBvZiBtaW5vciBoYW5kIHN1cmdlcmllcyBjb21wYXJp
bmcgd2lkZSBhd2FrZSBsb2NhbCBhbmVzdGhlc2lhIG5vIHRvdXJuaXF1ZXQgYW5kIGxvY2FsIGFu
ZXN0aGVzaWEgd2l0aCB0b3VybmlxdWV0PC90aXRsZT48c2Vjb25kYXJ5LXRpdGxlPk9ydGhvcCBU
cmF1bWF0b2wgU3VyZyBSZXM8L3NlY29uZGFyeS10aXRsZT48L3RpdGxlcz48cGVyaW9kaWNhbD48
ZnVsbC10aXRsZT5PcnRob3AgVHJhdW1hdG9sIFN1cmcgUmVzPC9mdWxsLXRpdGxlPjwvcGVyaW9k
aWNhbD48cGFnZXM+MTY0NS0xNjUxPC9wYWdlcz48dm9sdW1lPjEwNjwvdm9sdW1lPjxudW1iZXI+
ODwvbnVtYmVyPjxlZGl0aW9uPjIwMjAvMDcvMDg8L2VkaXRpb24+PGtleXdvcmRzPjxrZXl3b3Jk
PipBbmVzdGhlc2lhLCBMb2NhbDwva2V5d29yZD48a2V5d29yZD5BbmVzdGhldGljcywgTG9jYWw8
L2tleXdvcmQ+PGtleXdvcmQ+RXBpbmVwaHJpbmU8L2tleXdvcmQ+PGtleXdvcmQ+SGFuZDwva2V5
d29yZD48a2V5d29yZD5IdW1hbnM8L2tleXdvcmQ+PGtleXdvcmQ+TGlkb2NhaW5lPC9rZXl3b3Jk
PjxrZXl3b3JkPlByb3NwZWN0aXZlIFN0dWRpZXM8L2tleXdvcmQ+PGtleXdvcmQ+VG91cm5pcXVl
dHM8L2tleXdvcmQ+PGtleXdvcmQ+KlRyaWdnZXIgRmluZ2VyIERpc29yZGVyPC9rZXl3b3JkPjxr
ZXl3b3JkPlNvZGl1bSBiaWNhcmJvbmF0ZTwva2V5d29yZD48a2V5d29yZD5XYWxhbnQ8L2tleXdv
cmQ+PC9rZXl3b3Jkcz48ZGF0ZXM+PHllYXI+MjAyMDwveWVhcj48cHViLWRhdGVzPjxkYXRlPkRl
YzwvZGF0ZT48L3B1Yi1kYXRlcz48L2RhdGVzPjxpc2JuPjE4NzctMDU2ODwvaXNibj48YWNjZXNz
aW9uLW51bT4zMjYzMTcxMzwvYWNjZXNzaW9uLW51bT48dXJscz48L3VybHM+PGVsZWN0cm9uaWMt
cmVzb3VyY2UtbnVtPjEwLjEwMTYvai5vdHNyLjIwMjAuMDMuMDEzPC9lbGVjdHJvbmljLXJlc291
cmNlLW51bT48cmVtb3RlLWRhdGFiYXNlLXByb3ZpZGVyPk5MTTwvcmVtb3RlLWRhdGFiYXNlLXBy
b3ZpZGVyPjxsYW5ndWFnZT5lbmc8L2xhbmd1YWdlPjwvcmVjb3JkPjwvQ2l0ZT48Q2l0ZT48QXV0
aG9yPkxhcnNlbjwvQXV0aG9yPjxZZWFyPjIwMjE8L1llYXI+PFJlY051bT4xMjA5PC9SZWNOdW0+
PHJlY29yZD48cmVjLW51bWJlcj4xMjA5PC9yZWMtbnVtYmVyPjxmb3JlaWduLWtleXM+PGtleSBh
cHA9IkVOIiBkYi1pZD0iczJ0MjB4ZXdwNTJ2d3NlZmZ4MDVlMnhydnJ6ZGE5MHhkcHdzIiB0aW1l
c3RhbXA9IjE3NjY0MTcyNDMiPjEyMDk8L2tleT48L2ZvcmVpZ24ta2V5cz48cmVmLXR5cGUgbmFt
ZT0iSm91cm5hbCBBcnRpY2xlIj4xNzwvcmVmLXR5cGU+PGNvbnRyaWJ1dG9ycz48YXV0aG9ycz48
YXV0aG9yPkxhcnNlbiwgTC4gUC48L2F1dGhvcj48YXV0aG9yPkhhbnNlbiwgVC4gQi48L2F1dGhv
cj48L2F1dGhvcnM+PC9jb250cmlidXRvcnM+PGF1dGgtYWRkcmVzcz5EZXBhcnRtZW50IG9mIE9y
dGhvcGFlZGljcywgVW5pdmVyc2l0eSBDbGluaWMsIEhvbHN0ZWJybywgRGVubWFyay48L2F1dGgt
YWRkcmVzcz48dGl0bGVzPjx0aXRsZT5Ub3RhbCB0cmFwZXppb21ldGFjYXJwYWwgam9pbnQgYXJ0
aHJvcGxhc3R5IHVzaW5nIHdpZGUgYXdha2UgbG9jYWwgYW5hZXN0aGV0aWMgbm8gdG91cm5pcXVl
dDwvdGl0bGU+PHNlY29uZGFyeS10aXRsZT5KIEhhbmQgU3VyZyBFdXIgVm9sPC9zZWNvbmRhcnkt
dGl0bGU+PC90aXRsZXM+PHBlcmlvZGljYWw+PGZ1bGwtdGl0bGU+SiBIYW5kIFN1cmcgRXVyIFZv
bDwvZnVsbC10aXRsZT48L3BlcmlvZGljYWw+PHBhZ2VzPjEyNS0xMzA8L3BhZ2VzPjx2b2x1bWU+
NDY8L3ZvbHVtZT48bnVtYmVyPjI8L251bWJlcj48ZWRpdGlvbj4yMDIwLzA2LzIzPC9lZGl0aW9u
PjxrZXl3b3Jkcz48a2V5d29yZD4qQW5lc3RoZXNpYSwgTG9jYWw8L2tleXdvcmQ+PGtleXdvcmQ+
KkFuZXN0aGV0aWNzLCBMb2NhbDwva2V5d29yZD48a2V5d29yZD5BcnRocm9wbGFzdHk8L2tleXdv
cmQ+PGtleXdvcmQ+RXBpbmVwaHJpbmU8L2tleXdvcmQ+PGtleXdvcmQ+SHVtYW5zPC9rZXl3b3Jk
PjxrZXl3b3JkPlJlcHJvZHVjaWJpbGl0eSBvZiBSZXN1bHRzPC9rZXl3b3JkPjxrZXl3b3JkPldh
bGFudDwva2V5d29yZD48a2V5d29yZD5XaWRlIGF3YWtlIGxvY2FsIGFuYWVzdGhldGljIG5vIHRv
dXJuaXF1ZXQ8L2tleXdvcmQ+PGtleXdvcmQ+cGF0aWVudCBzYXRpc2ZhY3Rpb248L2tleXdvcmQ+
PGtleXdvcmQ+cmVsaWFiaWxpdHk8L2tleXdvcmQ+PGtleXdvcmQ+dHJhcGV6aW9tZXRhY2FycGFs
IHRvdGFsIGpvaW50IGFydGhyb3BsYXN0eTwva2V5d29yZD48a2V5d29yZD53aWRlIGF3YWtlPC9r
ZXl3b3JkPjwva2V5d29yZHM+PGRhdGVzPjx5ZWFyPjIwMjE8L3llYXI+PHB1Yi1kYXRlcz48ZGF0
ZT5GZWI8L2RhdGU+PC9wdWItZGF0ZXM+PC9kYXRlcz48aXNibj4wMjY2LTc2ODE8L2lzYm4+PGFj
Y2Vzc2lvbi1udW0+MzI1Njc0NjU8L2FjY2Vzc2lvbi1udW0+PHVybHM+PC91cmxzPjxlbGVjdHJv
bmljLXJlc291cmNlLW51bT4xMC4xMTc3LzE3NTMxOTM0MjA5MzI0NjU8L2VsZWN0cm9uaWMtcmVz
b3VyY2UtbnVtPjxyZW1vdGUtZGF0YWJhc2UtcHJvdmlkZXI+TkxNPC9yZW1vdGUtZGF0YWJhc2Ut
cHJvdmlkZXI+PGxhbmd1YWdlPmVuZzwvbGFuZ3VhZ2U+PC9yZWNvcmQ+PC9DaXRlPjwvRW5kTm90
ZT5=
</w:fldData>
        </w:fldChar>
      </w:r>
      <w:r w:rsidR="00A845CE" w:rsidRPr="0011555A">
        <w:rPr>
          <w:shd w:val="clear" w:color="auto" w:fill="FFFFFF"/>
        </w:rPr>
        <w:instrText xml:space="preserve"> ADDIN EN.CITE </w:instrText>
      </w:r>
      <w:r w:rsidR="00A845CE" w:rsidRPr="0011555A">
        <w:rPr>
          <w:shd w:val="clear" w:color="auto" w:fill="FFFFFF"/>
        </w:rPr>
        <w:fldChar w:fldCharType="begin">
          <w:fldData xml:space="preserve">PEVuZE5vdGU+PENpdGU+PEF1dGhvcj5LaSBMZWU8L0F1dGhvcj48WWVhcj4yMDIwPC9ZZWFyPjxS
ZWNOdW0+NzQ8L1JlY051bT48RGlzcGxheVRleHQ+PHN0eWxlIGZhY2U9InN1cGVyc2NyaXB0Ij5b
MTMsIDE2XTwvc3R5bGU+PC9EaXNwbGF5VGV4dD48cmVjb3JkPjxyZWMtbnVtYmVyPjc0PC9yZWMt
bnVtYmVyPjxmb3JlaWduLWtleXM+PGtleSBhcHA9IkVOIiBkYi1pZD0idzlzdjVwZnN6YWVwdzFl
MndkOTUyMjI5ZTJlcjVldGRyc2R0IiB0aW1lc3RhbXA9IjE3NTYzOTU2OTMiPjc0PC9rZXk+PC9m
b3JlaWduLWtleXM+PHJlZi10eXBlIG5hbWU9IkpvdXJuYWwgQXJ0aWNsZSI+MTc8L3JlZi10eXBl
Pjxjb250cmlidXRvcnM+PGF1dGhvcnM+PGF1dGhvcj5LaSBMZWUsIFMuPC9hdXRob3I+PGF1dGhv
cj5HdWwgS2ltLCBTLjwvYXV0aG9yPjxhdXRob3I+U2lrIENob3ksIFcuPC9hdXRob3I+PC9hdXRo
b3JzPjwvY29udHJpYnV0b3JzPjxhdXRoLWFkZHJlc3M+RGVwYXJ0bWVudCBvZiBPcnRob3BlZGlj
IFN1cmdlcnksIEV1bGppIFVuaXZlcnNpdHkgQ29sbGVnZSBvZiBNZWRpY2luZSwgRGFlamVvbiwg
S29yZWEuIEVsZWN0cm9uaWMgYWRkcmVzczogc2tsZWVAZXVsamkuYWMua3IuJiN4RDtEZXBhcnRt
ZW50IG9mIE9ydGhvcGVkaWMgU3VyZ2VyeSwgRXVsamkgVW5pdmVyc2l0eSBDb2xsZWdlIG9mIE1l
ZGljaW5lLCBEYWVqZW9uLCBLb3JlYS48L2F1dGgtYWRkcmVzcz48dGl0bGVzPjx0aXRsZT5BIHJh
bmRvbWl6ZWQgY29udHJvbGxlZCB0cmlhbCBvZiBtaW5vciBoYW5kIHN1cmdlcmllcyBjb21wYXJp
bmcgd2lkZSBhd2FrZSBsb2NhbCBhbmVzdGhlc2lhIG5vIHRvdXJuaXF1ZXQgYW5kIGxvY2FsIGFu
ZXN0aGVzaWEgd2l0aCB0b3VybmlxdWV0PC90aXRsZT48c2Vjb25kYXJ5LXRpdGxlPk9ydGhvcCBU
cmF1bWF0b2wgU3VyZyBSZXM8L3NlY29uZGFyeS10aXRsZT48L3RpdGxlcz48cGVyaW9kaWNhbD48
ZnVsbC10aXRsZT5PcnRob3AgVHJhdW1hdG9sIFN1cmcgUmVzPC9mdWxsLXRpdGxlPjwvcGVyaW9k
aWNhbD48cGFnZXM+MTY0NS0xNjUxPC9wYWdlcz48dm9sdW1lPjEwNjwvdm9sdW1lPjxudW1iZXI+
ODwvbnVtYmVyPjxlZGl0aW9uPjIwMjAvMDcvMDg8L2VkaXRpb24+PGtleXdvcmRzPjxrZXl3b3Jk
PipBbmVzdGhlc2lhLCBMb2NhbDwva2V5d29yZD48a2V5d29yZD5BbmVzdGhldGljcywgTG9jYWw8
L2tleXdvcmQ+PGtleXdvcmQ+RXBpbmVwaHJpbmU8L2tleXdvcmQ+PGtleXdvcmQ+SGFuZDwva2V5
d29yZD48a2V5d29yZD5IdW1hbnM8L2tleXdvcmQ+PGtleXdvcmQ+TGlkb2NhaW5lPC9rZXl3b3Jk
PjxrZXl3b3JkPlByb3NwZWN0aXZlIFN0dWRpZXM8L2tleXdvcmQ+PGtleXdvcmQ+VG91cm5pcXVl
dHM8L2tleXdvcmQ+PGtleXdvcmQ+KlRyaWdnZXIgRmluZ2VyIERpc29yZGVyPC9rZXl3b3JkPjxr
ZXl3b3JkPlNvZGl1bSBiaWNhcmJvbmF0ZTwva2V5d29yZD48a2V5d29yZD5XYWxhbnQ8L2tleXdv
cmQ+PC9rZXl3b3Jkcz48ZGF0ZXM+PHllYXI+MjAyMDwveWVhcj48cHViLWRhdGVzPjxkYXRlPkRl
YzwvZGF0ZT48L3B1Yi1kYXRlcz48L2RhdGVzPjxpc2JuPjE4NzctMDU2ODwvaXNibj48YWNjZXNz
aW9uLW51bT4zMjYzMTcxMzwvYWNjZXNzaW9uLW51bT48dXJscz48L3VybHM+PGVsZWN0cm9uaWMt
cmVzb3VyY2UtbnVtPjEwLjEwMTYvai5vdHNyLjIwMjAuMDMuMDEzPC9lbGVjdHJvbmljLXJlc291
cmNlLW51bT48cmVtb3RlLWRhdGFiYXNlLXByb3ZpZGVyPk5MTTwvcmVtb3RlLWRhdGFiYXNlLXBy
b3ZpZGVyPjxsYW5ndWFnZT5lbmc8L2xhbmd1YWdlPjwvcmVjb3JkPjwvQ2l0ZT48Q2l0ZT48QXV0
aG9yPkxhcnNlbjwvQXV0aG9yPjxZZWFyPjIwMjE8L1llYXI+PFJlY051bT4xMjA5PC9SZWNOdW0+
PHJlY29yZD48cmVjLW51bWJlcj4xMjA5PC9yZWMtbnVtYmVyPjxmb3JlaWduLWtleXM+PGtleSBh
cHA9IkVOIiBkYi1pZD0iczJ0MjB4ZXdwNTJ2d3NlZmZ4MDVlMnhydnJ6ZGE5MHhkcHdzIiB0aW1l
c3RhbXA9IjE3NjY0MTcyNDMiPjEyMDk8L2tleT48L2ZvcmVpZ24ta2V5cz48cmVmLXR5cGUgbmFt
ZT0iSm91cm5hbCBBcnRpY2xlIj4xNzwvcmVmLXR5cGU+PGNvbnRyaWJ1dG9ycz48YXV0aG9ycz48
YXV0aG9yPkxhcnNlbiwgTC4gUC48L2F1dGhvcj48YXV0aG9yPkhhbnNlbiwgVC4gQi48L2F1dGhv
cj48L2F1dGhvcnM+PC9jb250cmlidXRvcnM+PGF1dGgtYWRkcmVzcz5EZXBhcnRtZW50IG9mIE9y
dGhvcGFlZGljcywgVW5pdmVyc2l0eSBDbGluaWMsIEhvbHN0ZWJybywgRGVubWFyay48L2F1dGgt
YWRkcmVzcz48dGl0bGVzPjx0aXRsZT5Ub3RhbCB0cmFwZXppb21ldGFjYXJwYWwgam9pbnQgYXJ0
aHJvcGxhc3R5IHVzaW5nIHdpZGUgYXdha2UgbG9jYWwgYW5hZXN0aGV0aWMgbm8gdG91cm5pcXVl
dDwvdGl0bGU+PHNlY29uZGFyeS10aXRsZT5KIEhhbmQgU3VyZyBFdXIgVm9sPC9zZWNvbmRhcnkt
dGl0bGU+PC90aXRsZXM+PHBlcmlvZGljYWw+PGZ1bGwtdGl0bGU+SiBIYW5kIFN1cmcgRXVyIFZv
bDwvZnVsbC10aXRsZT48L3BlcmlvZGljYWw+PHBhZ2VzPjEyNS0xMzA8L3BhZ2VzPjx2b2x1bWU+
NDY8L3ZvbHVtZT48bnVtYmVyPjI8L251bWJlcj48ZWRpdGlvbj4yMDIwLzA2LzIzPC9lZGl0aW9u
PjxrZXl3b3Jkcz48a2V5d29yZD4qQW5lc3RoZXNpYSwgTG9jYWw8L2tleXdvcmQ+PGtleXdvcmQ+
KkFuZXN0aGV0aWNzLCBMb2NhbDwva2V5d29yZD48a2V5d29yZD5BcnRocm9wbGFzdHk8L2tleXdv
cmQ+PGtleXdvcmQ+RXBpbmVwaHJpbmU8L2tleXdvcmQ+PGtleXdvcmQ+SHVtYW5zPC9rZXl3b3Jk
PjxrZXl3b3JkPlJlcHJvZHVjaWJpbGl0eSBvZiBSZXN1bHRzPC9rZXl3b3JkPjxrZXl3b3JkPldh
bGFudDwva2V5d29yZD48a2V5d29yZD5XaWRlIGF3YWtlIGxvY2FsIGFuYWVzdGhldGljIG5vIHRv
dXJuaXF1ZXQ8L2tleXdvcmQ+PGtleXdvcmQ+cGF0aWVudCBzYXRpc2ZhY3Rpb248L2tleXdvcmQ+
PGtleXdvcmQ+cmVsaWFiaWxpdHk8L2tleXdvcmQ+PGtleXdvcmQ+dHJhcGV6aW9tZXRhY2FycGFs
IHRvdGFsIGpvaW50IGFydGhyb3BsYXN0eTwva2V5d29yZD48a2V5d29yZD53aWRlIGF3YWtlPC9r
ZXl3b3JkPjwva2V5d29yZHM+PGRhdGVzPjx5ZWFyPjIwMjE8L3llYXI+PHB1Yi1kYXRlcz48ZGF0
ZT5GZWI8L2RhdGU+PC9wdWItZGF0ZXM+PC9kYXRlcz48aXNibj4wMjY2LTc2ODE8L2lzYm4+PGFj
Y2Vzc2lvbi1udW0+MzI1Njc0NjU8L2FjY2Vzc2lvbi1udW0+PHVybHM+PC91cmxzPjxlbGVjdHJv
bmljLXJlc291cmNlLW51bT4xMC4xMTc3LzE3NTMxOTM0MjA5MzI0NjU8L2VsZWN0cm9uaWMtcmVz
b3VyY2UtbnVtPjxyZW1vdGUtZGF0YWJhc2UtcHJvdmlkZXI+TkxNPC9yZW1vdGUtZGF0YWJhc2Ut
cHJvdmlkZXI+PGxhbmd1YWdlPmVuZzwvbGFuZ3VhZ2U+PC9yZWNvcmQ+PC9DaXRlPjwvRW5kTm90
ZT5=
</w:fldData>
        </w:fldChar>
      </w:r>
      <w:r w:rsidR="00A845CE" w:rsidRPr="0011555A">
        <w:rPr>
          <w:shd w:val="clear" w:color="auto" w:fill="FFFFFF"/>
        </w:rPr>
        <w:instrText xml:space="preserve"> ADDIN EN.CITE.DATA </w:instrText>
      </w:r>
      <w:r w:rsidR="00A845CE" w:rsidRPr="0011555A">
        <w:rPr>
          <w:shd w:val="clear" w:color="auto" w:fill="FFFFFF"/>
        </w:rPr>
      </w:r>
      <w:r w:rsidR="00A845CE" w:rsidRPr="0011555A">
        <w:rPr>
          <w:shd w:val="clear" w:color="auto" w:fill="FFFFFF"/>
        </w:rPr>
        <w:fldChar w:fldCharType="end"/>
      </w:r>
      <w:r w:rsidR="00DE3B12" w:rsidRPr="0011555A">
        <w:rPr>
          <w:shd w:val="clear" w:color="auto" w:fill="FFFFFF"/>
        </w:rPr>
      </w:r>
      <w:r w:rsidR="00DE3B12" w:rsidRPr="0011555A">
        <w:rPr>
          <w:shd w:val="clear" w:color="auto" w:fill="FFFFFF"/>
        </w:rPr>
        <w:fldChar w:fldCharType="separate"/>
      </w:r>
      <w:r w:rsidR="00A845CE" w:rsidRPr="0011555A">
        <w:rPr>
          <w:noProof/>
          <w:shd w:val="clear" w:color="auto" w:fill="FFFFFF"/>
          <w:vertAlign w:val="superscript"/>
        </w:rPr>
        <w:t>[13, 16]</w:t>
      </w:r>
      <w:r w:rsidR="00DE3B12" w:rsidRPr="0011555A">
        <w:rPr>
          <w:shd w:val="clear" w:color="auto" w:fill="FFFFFF"/>
        </w:rPr>
        <w:fldChar w:fldCharType="end"/>
      </w:r>
      <w:r w:rsidR="00CD6AB4" w:rsidRPr="0011555A">
        <w:t xml:space="preserve">. Also, </w:t>
      </w:r>
      <w:proofErr w:type="spellStart"/>
      <w:r w:rsidRPr="005C1479">
        <w:rPr>
          <w:b/>
          <w:bCs/>
        </w:rPr>
        <w:t>Tulipan</w:t>
      </w:r>
      <w:proofErr w:type="spellEnd"/>
      <w:r w:rsidRPr="005C1479">
        <w:rPr>
          <w:b/>
          <w:bCs/>
        </w:rPr>
        <w:t xml:space="preserve"> et al. </w:t>
      </w:r>
      <w:r w:rsidR="00770A8A" w:rsidRPr="0011555A">
        <w:rPr>
          <w:shd w:val="clear" w:color="auto" w:fill="FFFFFF"/>
        </w:rPr>
        <w:fldChar w:fldCharType="begin"/>
      </w:r>
      <w:r w:rsidR="00A845CE" w:rsidRPr="0011555A">
        <w:rPr>
          <w:shd w:val="clear" w:color="auto" w:fill="FFFFFF"/>
        </w:rPr>
        <w:instrText xml:space="preserve"> ADDIN EN.CITE &lt;EndNote&gt;&lt;Cite&gt;&lt;Author&gt;Tulipan&lt;/Author&gt;&lt;Year&gt;2017&lt;/Year&gt;&lt;RecNum&gt;79&lt;/RecNum&gt;&lt;DisplayText&gt;&lt;style face="superscript"&gt;[18]&lt;/style&gt;&lt;/DisplayText&gt;&lt;record&gt;&lt;rec-number&gt;79&lt;/rec-number&gt;&lt;foreign-keys&gt;&lt;key app="EN" db-id="w9sv5pfszaepw1e2wd952229e2er5etdrsdt" timestamp="1756396041"&gt;79&lt;/key&gt;&lt;/foreign-keys&gt;&lt;ref-type name="Journal Article"&gt;17&lt;/ref-type&gt;&lt;contributors&gt;&lt;authors&gt;&lt;author&gt;Tulipan, J. E.&lt;/author&gt;&lt;author&gt;Kim, N.&lt;/author&gt;&lt;author&gt;Abboudi, J.&lt;/author&gt;&lt;author&gt;Jones, C.&lt;/author&gt;&lt;author&gt;Liss, F.&lt;/author&gt;&lt;author&gt;Kirkpatrick, W.&lt;/author&gt;&lt;author&gt;Rivlin, M.&lt;/author&gt;&lt;author&gt;Wang, M. L.&lt;/author&gt;&lt;author&gt;Matzon, J.&lt;/author&gt;&lt;author&gt;Ilyas, A. M.&lt;/author&gt;&lt;/authors&gt;&lt;/contributors&gt;&lt;auth-address&gt;Department of Orthopaedic Surgery, Thomas Jefferson University, Philadelphia, Pennsylvania, United States.&amp;#xD;Divison of Hand Surgery, Rothman Institute, Philadelphia, Pennsylvania, United States.&lt;/auth-address&gt;&lt;titles&gt;&lt;title&gt;Open Carpal Tunnel Release Outcomes: Performed Wide Awake versus with Sedation&lt;/title&gt;&lt;secondary-title&gt;J Hand Microsurg&lt;/secondary-title&gt;&lt;/titles&gt;&lt;periodical&gt;&lt;full-title&gt;J Hand Microsurg&lt;/full-title&gt;&lt;/periodical&gt;&lt;pages&gt;74-79&lt;/pages&gt;&lt;volume&gt;9&lt;/volume&gt;&lt;number&gt;2&lt;/number&gt;&lt;edition&gt;2017/09/05&lt;/edition&gt;&lt;keywords&gt;&lt;keyword&gt;carpal tunnel release&lt;/keyword&gt;&lt;keyword&gt;sedation&lt;/keyword&gt;&lt;keyword&gt;visual analog scale&lt;/keyword&gt;&lt;keyword&gt;wide awake&lt;/keyword&gt;&lt;/keywords&gt;&lt;dates&gt;&lt;year&gt;2017&lt;/year&gt;&lt;pub-dates&gt;&lt;date&gt;Aug&lt;/date&gt;&lt;/pub-dates&gt;&lt;/dates&gt;&lt;isbn&gt;0974-3227 (Print)&amp;#xD;0974-3227&lt;/isbn&gt;&lt;accession-num&gt;28867906&lt;/accession-num&gt;&lt;urls&gt;&lt;/urls&gt;&lt;custom2&gt;PMC5579466&lt;/custom2&gt;&lt;electronic-resource-num&gt;10.1055/s-0037-1603200&lt;/electronic-resource-num&gt;&lt;remote-database-provider&gt;NLM&lt;/remote-database-provider&gt;&lt;language&gt;eng&lt;/language&gt;&lt;/record&gt;&lt;/Cite&gt;&lt;/EndNote&gt;</w:instrText>
      </w:r>
      <w:r w:rsidR="00770A8A" w:rsidRPr="0011555A">
        <w:rPr>
          <w:shd w:val="clear" w:color="auto" w:fill="FFFFFF"/>
        </w:rPr>
        <w:fldChar w:fldCharType="separate"/>
      </w:r>
      <w:r w:rsidR="00A845CE" w:rsidRPr="0011555A">
        <w:rPr>
          <w:noProof/>
          <w:shd w:val="clear" w:color="auto" w:fill="FFFFFF"/>
          <w:vertAlign w:val="superscript"/>
        </w:rPr>
        <w:t>[18]</w:t>
      </w:r>
      <w:r w:rsidR="00770A8A" w:rsidRPr="0011555A">
        <w:rPr>
          <w:shd w:val="clear" w:color="auto" w:fill="FFFFFF"/>
        </w:rPr>
        <w:fldChar w:fldCharType="end"/>
      </w:r>
      <w:r w:rsidR="00770A8A" w:rsidRPr="0011555A">
        <w:rPr>
          <w:shd w:val="clear" w:color="auto" w:fill="FFFFFF"/>
        </w:rPr>
        <w:t xml:space="preserve"> </w:t>
      </w:r>
      <w:r w:rsidRPr="005C1479">
        <w:t>found no differences in disability, pain, return to work, or anesthesia satisfaction when comparing WALANT with LA/tourniquet plus sedation for carpal tunnel release.</w:t>
      </w:r>
    </w:p>
    <w:p w14:paraId="3E9656B1" w14:textId="3BD80DB0" w:rsidR="00C31AA5" w:rsidRPr="0011555A" w:rsidRDefault="005C1479" w:rsidP="005C1479">
      <w:pPr>
        <w:pStyle w:val="P"/>
      </w:pPr>
      <w:r w:rsidRPr="005C1479">
        <w:t xml:space="preserve">Safety in our cohort (minimal nausea/vomiting; no pruritus/systemic toxicity) reinforces WALANT as a safe outpatient alternative, consistent with the reduced risks compared with regional or general anesthesia emphasized by </w:t>
      </w:r>
      <w:r w:rsidRPr="005C1479">
        <w:rPr>
          <w:b/>
          <w:bCs/>
        </w:rPr>
        <w:t xml:space="preserve">Sawhney et al. </w:t>
      </w:r>
      <w:r w:rsidR="005E2356" w:rsidRPr="0011555A">
        <w:fldChar w:fldCharType="begin"/>
      </w:r>
      <w:r w:rsidR="00C31AA5" w:rsidRPr="0011555A">
        <w:instrText xml:space="preserve"> ADDIN EN.CITE &lt;EndNote&gt;&lt;Cite&gt;&lt;Author&gt;Sawhney&lt;/Author&gt;&lt;Year&gt;2024&lt;/Year&gt;&lt;RecNum&gt;66&lt;/RecNum&gt;&lt;DisplayText&gt;&lt;style face="superscript"&gt;[1]&lt;/style&gt;&lt;/DisplayText&gt;&lt;record&gt;&lt;rec-number&gt;66&lt;/rec-number&gt;&lt;foreign-keys&gt;&lt;key app="EN" db-id="w9sv5pfszaepw1e2wd952229e2er5etdrsdt" timestamp="1756386124"&gt;66&lt;/key&gt;&lt;/foreign-keys&gt;&lt;ref-type name="Journal Article"&gt;17&lt;/ref-type&gt;&lt;contributors&gt;&lt;authors&gt;&lt;author&gt;Sawhney, A.&lt;/author&gt;&lt;author&gt;Thacoor, A.&lt;/author&gt;&lt;author&gt;Nagra, R.&lt;/author&gt;&lt;author&gt;Geoghegan, L.&lt;/author&gt;&lt;author&gt;Akhavani, M.&lt;/author&gt;&lt;/authors&gt;&lt;/contributors&gt;&lt;auth-address&gt;From the Department of Plastic, Reconstructive and Burns Surgery, Stoke-Mandeville Hospital, Aylesbury, United Kingdom.&amp;#xD;Department of Plastic and Reconstructive Surgery, St Georges Hospital, London, United Kingdom.&amp;#xD;University College London, Division of Surgery and Interventional Science, London, United Kingdom.&amp;#xD;Section of Vascular Surgery, Department of Surgery and Cancer, Imperial College London, London, United Kingdom.&amp;#xD;Department of Plastic and Reconstructive Surgery, Royal Free Hospital, London, United Kingdom.&lt;/auth-address&gt;&lt;titles&gt;&lt;title&gt;Wide Awake Local Anesthetic No Tourniquet in Hand and Wrist Surgery: Current Concepts, Indications, and Considerations&lt;/title&gt;&lt;secondary-title&gt;Plast Reconstr Surg Glob Open&lt;/secondary-title&gt;&lt;/titles&gt;&lt;periodical&gt;&lt;full-title&gt;Plast Reconstr Surg Glob Open&lt;/full-title&gt;&lt;/periodical&gt;&lt;pages&gt;e5526&lt;/pages&gt;&lt;volume&gt;12&lt;/volume&gt;&lt;number&gt;1&lt;/number&gt;&lt;edition&gt;2024/01/23&lt;/edition&gt;&lt;dates&gt;&lt;year&gt;2024&lt;/year&gt;&lt;pub-dates&gt;&lt;date&gt;Jan&lt;/date&gt;&lt;/pub-dates&gt;&lt;/dates&gt;&lt;isbn&gt;2169-7574 (Print)&amp;#xD;2169-7574&lt;/isbn&gt;&lt;accession-num&gt;38260757&lt;/accession-num&gt;&lt;urls&gt;&lt;/urls&gt;&lt;custom2&gt;PMC10803042 this article.&lt;/custom2&gt;&lt;electronic-resource-num&gt;10.1097/gox.0000000000005526&lt;/electronic-resource-num&gt;&lt;remote-database-provider&gt;NLM&lt;/remote-database-provider&gt;&lt;language&gt;eng&lt;/language&gt;&lt;/record&gt;&lt;/Cite&gt;&lt;/EndNote&gt;</w:instrText>
      </w:r>
      <w:r w:rsidR="005E2356" w:rsidRPr="0011555A">
        <w:fldChar w:fldCharType="separate"/>
      </w:r>
      <w:r w:rsidR="00C31AA5" w:rsidRPr="0011555A">
        <w:rPr>
          <w:noProof/>
          <w:vertAlign w:val="superscript"/>
        </w:rPr>
        <w:t>[1]</w:t>
      </w:r>
      <w:r w:rsidR="005E2356" w:rsidRPr="0011555A">
        <w:fldChar w:fldCharType="end"/>
      </w:r>
      <w:r w:rsidRPr="005C1479">
        <w:t xml:space="preserve">. In a large series, </w:t>
      </w:r>
      <w:proofErr w:type="spellStart"/>
      <w:r w:rsidRPr="005C1479">
        <w:rPr>
          <w:b/>
          <w:bCs/>
        </w:rPr>
        <w:t>Serotte</w:t>
      </w:r>
      <w:proofErr w:type="spellEnd"/>
      <w:r w:rsidRPr="005C1479">
        <w:rPr>
          <w:b/>
          <w:bCs/>
        </w:rPr>
        <w:t xml:space="preserve"> et al. </w:t>
      </w:r>
      <w:r w:rsidR="00C41D99" w:rsidRPr="0011555A">
        <w:fldChar w:fldCharType="begin"/>
      </w:r>
      <w:r w:rsidR="00A845CE" w:rsidRPr="0011555A">
        <w:instrText xml:space="preserve"> ADDIN EN.CITE &lt;EndNote&gt;&lt;Cite&gt;&lt;Author&gt;Serotte&lt;/Author&gt;&lt;Year&gt;2024&lt;/Year&gt;&lt;RecNum&gt;81&lt;/RecNum&gt;&lt;DisplayText&gt;&lt;style face="superscript"&gt;[19]&lt;/style&gt;&lt;/DisplayText&gt;&lt;record&gt;&lt;rec-number&gt;81&lt;/rec-number&gt;&lt;foreign-keys&gt;&lt;key app="EN" db-id="w9sv5pfszaepw1e2wd952229e2er5etdrsdt" timestamp="1756396735"&gt;81&lt;/key&gt;&lt;/foreign-keys&gt;&lt;ref-type name="Journal Article"&gt;17&lt;/ref-type&gt;&lt;contributors&gt;&lt;authors&gt;&lt;author&gt;Serotte, J. C.&lt;/author&gt;&lt;author&gt;Chen, K.&lt;/author&gt;&lt;author&gt;Wolf, J.&lt;/author&gt;&lt;author&gt;Conti Mica, M.&lt;/author&gt;&lt;/authors&gt;&lt;/contributors&gt;&lt;auth-address&gt;Department of Orthopaedic Surgery, The University of Chicago Medical Center, Chicago, IL. Electronic address: jordan.serotte@uchicagomedicine.org.&amp;#xD;Pritzker School of Medicine, The University of Chicago, Chicago, IL.&amp;#xD;Department of Orthopaedic Surgery, The University of Chicago Medical Center, Chicago, IL.&lt;/auth-address&gt;&lt;titles&gt;&lt;title&gt;The Use of the Procedure Room for Wide-Awake Local Anesthesia, No Tourniquet Hand Surgery in &amp;quot;High-Risk&amp;quot; Patients&lt;/title&gt;&lt;secondary-title&gt;J Hand Surg Am&lt;/secondary-title&gt;&lt;/titles&gt;&lt;periodical&gt;&lt;full-title&gt;J Hand Surg Am&lt;/full-title&gt;&lt;/periodical&gt;&lt;edition&gt;2024/12/22&lt;/edition&gt;&lt;keywords&gt;&lt;keyword&gt;Hand surgery&lt;/keyword&gt;&lt;keyword&gt;Walant&lt;/keyword&gt;&lt;keyword&gt;procedure room&lt;/keyword&gt;&lt;keyword&gt;agency in the public, commercial, or not-for-profit sectors. All authors declare&lt;/keyword&gt;&lt;keyword&gt;that they have no conflicts of interest to disclose.&lt;/keyword&gt;&lt;/keywords&gt;&lt;dates&gt;&lt;year&gt;2024&lt;/year&gt;&lt;pub-dates&gt;&lt;date&gt;Dec 20&lt;/date&gt;&lt;/pub-dates&gt;&lt;/dates&gt;&lt;isbn&gt;0363-5023&lt;/isbn&gt;&lt;accession-num&gt;39707999&lt;/accession-num&gt;&lt;urls&gt;&lt;/urls&gt;&lt;electronic-resource-num&gt;10.1016/j.jhsa.2024.10.017&lt;/electronic-resource-num&gt;&lt;remote-database-provider&gt;NLM&lt;/remote-database-provider&gt;&lt;language&gt;eng&lt;/language&gt;&lt;/record&gt;&lt;/Cite&gt;&lt;/EndNote&gt;</w:instrText>
      </w:r>
      <w:r w:rsidR="00C41D99" w:rsidRPr="0011555A">
        <w:fldChar w:fldCharType="separate"/>
      </w:r>
      <w:r w:rsidR="00A845CE" w:rsidRPr="0011555A">
        <w:rPr>
          <w:noProof/>
          <w:vertAlign w:val="superscript"/>
        </w:rPr>
        <w:t>[19]</w:t>
      </w:r>
      <w:r w:rsidR="00C41D99" w:rsidRPr="0011555A">
        <w:fldChar w:fldCharType="end"/>
      </w:r>
      <w:r w:rsidR="00C41D99" w:rsidRPr="0011555A">
        <w:t xml:space="preserve"> </w:t>
      </w:r>
      <w:r w:rsidRPr="005C1479">
        <w:t xml:space="preserve">reported a low overall complication rate (2.7%) across 436 WALANT procedures and no increase in adverse events among higher-risk patients stratified by ASA/ASAPA. </w:t>
      </w:r>
    </w:p>
    <w:p w14:paraId="4FBCB87D" w14:textId="6772EA60" w:rsidR="005C1479" w:rsidRPr="0011555A" w:rsidRDefault="005C1479" w:rsidP="005C1479">
      <w:pPr>
        <w:pStyle w:val="P"/>
      </w:pPr>
      <w:r w:rsidRPr="005C1479">
        <w:t>Within our data, open surgery was consistently associated with higher pain, earlier analgesic demand, greater opioid consumption, and higher rates of tourniquet use and conversion to general anesthesia. These findings likely reflect longer duration, larger incisions, deeper soft-tissue dissection, periosteal manipulation, and handling of richly innervated structures in open techniques. Regression analyses identified open surgery as the strongest independent predictor of unfavorable pain-related outcomes and anesthetic supplementation, underscoring the need to tailor WALANT use and consider multimodal analgesia or adjunct techniques for more invasive open procedures.</w:t>
      </w:r>
    </w:p>
    <w:p w14:paraId="1BA64292" w14:textId="7A9DCC44" w:rsidR="00C31AA5" w:rsidRPr="005C1479" w:rsidRDefault="00686B07" w:rsidP="00C057EA">
      <w:pPr>
        <w:pStyle w:val="P"/>
      </w:pPr>
      <w:r w:rsidRPr="0011555A">
        <w:t>This</w:t>
      </w:r>
      <w:r w:rsidR="00C057EA" w:rsidRPr="0011555A">
        <w:t xml:space="preserve"> study </w:t>
      </w:r>
      <w:r w:rsidRPr="0011555A">
        <w:t>was</w:t>
      </w:r>
      <w:r w:rsidR="00C057EA" w:rsidRPr="0011555A">
        <w:t xml:space="preserve"> limited by its open-label, single-center design and small sample size, which restrict generalizability. The lack of a comparative group prevents direct assessment of WALANT versus traditional anesthesia methods. Additionally, the short 24-hour postoperative follow-up may overlook longer-term outcomes, while the inclusion of both open and non-open procedures could introduce variability unrelated to the anesthesia technique.</w:t>
      </w:r>
    </w:p>
    <w:p w14:paraId="2CB117C2" w14:textId="611F5ABB" w:rsidR="00DF534F" w:rsidRPr="0011555A" w:rsidRDefault="009402F1" w:rsidP="00ED1E3C">
      <w:pPr>
        <w:spacing w:before="240" w:after="0" w:line="240" w:lineRule="auto"/>
        <w:rPr>
          <w:rFonts w:asciiTheme="majorBidi" w:hAnsiTheme="majorBidi" w:cstheme="majorBidi"/>
          <w:b/>
          <w:bCs/>
          <w:sz w:val="24"/>
          <w:szCs w:val="24"/>
        </w:rPr>
      </w:pPr>
      <w:r w:rsidRPr="0011555A">
        <w:rPr>
          <w:rFonts w:asciiTheme="majorBidi" w:hAnsiTheme="majorBidi" w:cstheme="majorBidi"/>
          <w:b/>
          <w:bCs/>
          <w:sz w:val="24"/>
          <w:szCs w:val="24"/>
        </w:rPr>
        <w:t>Conclusion</w:t>
      </w:r>
      <w:r w:rsidR="00FE5E7D" w:rsidRPr="0011555A">
        <w:rPr>
          <w:rFonts w:asciiTheme="majorBidi" w:hAnsiTheme="majorBidi" w:cstheme="majorBidi"/>
          <w:b/>
          <w:bCs/>
          <w:sz w:val="24"/>
          <w:szCs w:val="24"/>
        </w:rPr>
        <w:t>:</w:t>
      </w:r>
    </w:p>
    <w:p w14:paraId="340B0523" w14:textId="7224BBCA" w:rsidR="00DE76C6" w:rsidRPr="0011555A" w:rsidRDefault="005B020B" w:rsidP="005B020B">
      <w:pPr>
        <w:pStyle w:val="P"/>
      </w:pPr>
      <w:r w:rsidRPr="0011555A">
        <w:t>WALANT is an effective and safe anesthetic technique for elective hand and wrist surgeries, providing rapid onset, acceptable analgesia, and low complication rates While it is especially advantageous for minimally invasive procedures, open surgeries remain associated with higher pain and opioid requirements. Hence, WALANT should be considered a first-line anesthetic technique for most elective hand and wrist surgeries, especially in outpatient settings, though caution is needed in open and prolonged procedures where supplemental analgesia may be warranted.</w:t>
      </w:r>
    </w:p>
    <w:p w14:paraId="2EBB331C" w14:textId="3B0B1AAC" w:rsidR="00804E8D" w:rsidRPr="0011555A" w:rsidRDefault="00804E8D" w:rsidP="00ED1E3C">
      <w:pPr>
        <w:spacing w:before="240" w:after="0" w:line="240" w:lineRule="auto"/>
        <w:jc w:val="lowKashida"/>
        <w:rPr>
          <w:rFonts w:asciiTheme="majorBidi" w:hAnsiTheme="majorBidi" w:cstheme="majorBidi"/>
          <w:b/>
          <w:sz w:val="24"/>
          <w:szCs w:val="24"/>
        </w:rPr>
      </w:pPr>
      <w:r w:rsidRPr="0011555A">
        <w:rPr>
          <w:rFonts w:asciiTheme="majorBidi" w:hAnsiTheme="majorBidi" w:cstheme="majorBidi"/>
          <w:b/>
          <w:sz w:val="24"/>
          <w:szCs w:val="24"/>
        </w:rPr>
        <w:t>Sources of funding</w:t>
      </w:r>
    </w:p>
    <w:p w14:paraId="5EA48A8B" w14:textId="339E791B" w:rsidR="00804E8D" w:rsidRDefault="00804E8D" w:rsidP="00ED1E3C">
      <w:pPr>
        <w:spacing w:before="240" w:after="0" w:line="240" w:lineRule="auto"/>
        <w:jc w:val="lowKashida"/>
        <w:rPr>
          <w:rFonts w:asciiTheme="majorBidi" w:hAnsiTheme="majorBidi" w:cstheme="majorBidi"/>
          <w:sz w:val="24"/>
          <w:szCs w:val="24"/>
        </w:rPr>
      </w:pPr>
      <w:r w:rsidRPr="0011555A">
        <w:rPr>
          <w:rFonts w:asciiTheme="majorBidi" w:hAnsiTheme="majorBidi" w:cstheme="majorBidi"/>
          <w:sz w:val="24"/>
          <w:szCs w:val="24"/>
        </w:rPr>
        <w:t xml:space="preserve">This research did not receive any specific grant from funding agencies in the public, commercial, or </w:t>
      </w:r>
      <w:proofErr w:type="gramStart"/>
      <w:r w:rsidRPr="0011555A">
        <w:rPr>
          <w:rFonts w:asciiTheme="majorBidi" w:hAnsiTheme="majorBidi" w:cstheme="majorBidi"/>
          <w:sz w:val="24"/>
          <w:szCs w:val="24"/>
        </w:rPr>
        <w:t>not-for</w:t>
      </w:r>
      <w:proofErr w:type="gramEnd"/>
      <w:r w:rsidRPr="0011555A">
        <w:rPr>
          <w:rFonts w:asciiTheme="majorBidi" w:hAnsiTheme="majorBidi" w:cstheme="majorBidi"/>
          <w:sz w:val="24"/>
          <w:szCs w:val="24"/>
        </w:rPr>
        <w:t>-profit sectors.</w:t>
      </w:r>
    </w:p>
    <w:p w14:paraId="6198D09B" w14:textId="77777777" w:rsidR="005C05A7" w:rsidRDefault="005C05A7" w:rsidP="00ED1E3C">
      <w:pPr>
        <w:spacing w:before="240" w:after="0" w:line="240" w:lineRule="auto"/>
        <w:jc w:val="lowKashida"/>
        <w:rPr>
          <w:rFonts w:asciiTheme="majorBidi" w:hAnsiTheme="majorBidi" w:cstheme="majorBidi"/>
          <w:sz w:val="24"/>
          <w:szCs w:val="24"/>
        </w:rPr>
      </w:pPr>
    </w:p>
    <w:p w14:paraId="7FA7B938" w14:textId="77777777" w:rsidR="009953D9" w:rsidRPr="0011555A" w:rsidRDefault="009953D9" w:rsidP="00ED1E3C">
      <w:pPr>
        <w:spacing w:before="240" w:after="0" w:line="240" w:lineRule="auto"/>
        <w:jc w:val="lowKashida"/>
        <w:rPr>
          <w:rFonts w:asciiTheme="majorBidi" w:hAnsiTheme="majorBidi" w:cstheme="majorBidi"/>
          <w:sz w:val="24"/>
          <w:szCs w:val="24"/>
        </w:rPr>
      </w:pPr>
    </w:p>
    <w:p w14:paraId="6963DA60" w14:textId="77777777" w:rsidR="00804E8D" w:rsidRPr="0011555A" w:rsidRDefault="00804E8D" w:rsidP="00ED1E3C">
      <w:pPr>
        <w:spacing w:before="240" w:after="0" w:line="240" w:lineRule="auto"/>
        <w:jc w:val="lowKashida"/>
        <w:rPr>
          <w:rFonts w:asciiTheme="majorBidi" w:hAnsiTheme="majorBidi" w:cstheme="majorBidi"/>
          <w:b/>
          <w:sz w:val="24"/>
          <w:szCs w:val="24"/>
        </w:rPr>
      </w:pPr>
      <w:r w:rsidRPr="0011555A">
        <w:rPr>
          <w:rFonts w:asciiTheme="majorBidi" w:hAnsiTheme="majorBidi" w:cstheme="majorBidi"/>
          <w:b/>
          <w:sz w:val="24"/>
          <w:szCs w:val="24"/>
        </w:rPr>
        <w:lastRenderedPageBreak/>
        <w:t>Author contribution</w:t>
      </w:r>
    </w:p>
    <w:p w14:paraId="36BD7396" w14:textId="1ED6CE13" w:rsidR="00804E8D" w:rsidRPr="0011555A" w:rsidRDefault="00F444B0" w:rsidP="00F444B0">
      <w:pPr>
        <w:spacing w:before="240" w:after="0" w:line="240" w:lineRule="auto"/>
        <w:rPr>
          <w:rFonts w:asciiTheme="majorBidi" w:hAnsiTheme="majorBidi" w:cstheme="majorBidi"/>
          <w:b/>
          <w:sz w:val="24"/>
          <w:szCs w:val="24"/>
        </w:rPr>
      </w:pPr>
      <w:r w:rsidRPr="0011555A">
        <w:rPr>
          <w:rFonts w:asciiTheme="majorBidi" w:hAnsiTheme="majorBidi" w:cstheme="majorBidi"/>
          <w:sz w:val="24"/>
          <w:szCs w:val="24"/>
        </w:rPr>
        <w:t>The authors contributed equally to the study.</w:t>
      </w:r>
    </w:p>
    <w:p w14:paraId="1D080BC0" w14:textId="77777777" w:rsidR="00804E8D" w:rsidRPr="0011555A" w:rsidRDefault="00804E8D" w:rsidP="00ED1E3C">
      <w:pPr>
        <w:spacing w:before="240" w:after="0" w:line="240" w:lineRule="auto"/>
        <w:jc w:val="lowKashida"/>
        <w:rPr>
          <w:rFonts w:asciiTheme="majorBidi" w:hAnsiTheme="majorBidi" w:cstheme="majorBidi"/>
          <w:b/>
          <w:sz w:val="24"/>
          <w:szCs w:val="24"/>
        </w:rPr>
      </w:pPr>
      <w:r w:rsidRPr="0011555A">
        <w:rPr>
          <w:rFonts w:asciiTheme="majorBidi" w:hAnsiTheme="majorBidi" w:cstheme="majorBidi"/>
          <w:b/>
          <w:sz w:val="24"/>
          <w:szCs w:val="24"/>
        </w:rPr>
        <w:t>Conflicts of interest</w:t>
      </w:r>
    </w:p>
    <w:p w14:paraId="58B77873" w14:textId="77777777" w:rsidR="00804E8D" w:rsidRPr="0011555A" w:rsidRDefault="00804E8D" w:rsidP="00ED1E3C">
      <w:pPr>
        <w:spacing w:before="240" w:after="0" w:line="240" w:lineRule="auto"/>
        <w:jc w:val="lowKashida"/>
        <w:rPr>
          <w:rFonts w:asciiTheme="majorBidi" w:hAnsiTheme="majorBidi" w:cstheme="majorBidi"/>
          <w:sz w:val="24"/>
          <w:szCs w:val="24"/>
        </w:rPr>
      </w:pPr>
      <w:r w:rsidRPr="0011555A">
        <w:rPr>
          <w:rFonts w:asciiTheme="majorBidi" w:hAnsiTheme="majorBidi" w:cstheme="majorBidi"/>
          <w:sz w:val="24"/>
          <w:szCs w:val="24"/>
        </w:rPr>
        <w:t>No conflicts of interest</w:t>
      </w:r>
    </w:p>
    <w:p w14:paraId="1194BA5B" w14:textId="181BBFDF" w:rsidR="009402F1" w:rsidRPr="007F3843" w:rsidRDefault="009402F1" w:rsidP="004A5871">
      <w:pPr>
        <w:spacing w:before="240" w:line="240" w:lineRule="auto"/>
        <w:rPr>
          <w:rFonts w:asciiTheme="majorBidi" w:hAnsiTheme="majorBidi" w:cstheme="majorBidi"/>
          <w:b/>
          <w:bCs/>
          <w:sz w:val="24"/>
          <w:szCs w:val="24"/>
        </w:rPr>
      </w:pPr>
      <w:r w:rsidRPr="007F3843">
        <w:rPr>
          <w:rFonts w:asciiTheme="majorBidi" w:hAnsiTheme="majorBidi" w:cstheme="majorBidi"/>
          <w:b/>
          <w:bCs/>
          <w:sz w:val="24"/>
          <w:szCs w:val="24"/>
        </w:rPr>
        <w:t>References</w:t>
      </w:r>
      <w:r w:rsidR="00FE5E7D" w:rsidRPr="007F3843">
        <w:rPr>
          <w:rFonts w:asciiTheme="majorBidi" w:hAnsiTheme="majorBidi" w:cstheme="majorBidi"/>
          <w:b/>
          <w:bCs/>
          <w:sz w:val="24"/>
          <w:szCs w:val="24"/>
        </w:rPr>
        <w:t>:</w:t>
      </w:r>
    </w:p>
    <w:p w14:paraId="2DD77D98" w14:textId="77777777" w:rsidR="00A845CE" w:rsidRPr="0011555A" w:rsidRDefault="000245C3" w:rsidP="003A066E">
      <w:pPr>
        <w:pStyle w:val="EndNoteBibliography"/>
        <w:spacing w:after="0"/>
        <w:jc w:val="both"/>
      </w:pPr>
      <w:r w:rsidRPr="0011555A">
        <w:rPr>
          <w:szCs w:val="24"/>
        </w:rPr>
        <w:fldChar w:fldCharType="begin"/>
      </w:r>
      <w:r w:rsidRPr="007F3843">
        <w:rPr>
          <w:szCs w:val="24"/>
        </w:rPr>
        <w:instrText xml:space="preserve"> ADDIN EN.REFLIST </w:instrText>
      </w:r>
      <w:r w:rsidRPr="0011555A">
        <w:rPr>
          <w:szCs w:val="24"/>
        </w:rPr>
        <w:fldChar w:fldCharType="separate"/>
      </w:r>
      <w:r w:rsidR="00A845CE" w:rsidRPr="0011555A">
        <w:t>1. Sawhney A, Thacoor A, Nagra R, Geoghegan L, Akhavani M. Wide Awake Local Anesthetic No Tourniquet in Hand and Wrist Surgery: Current Concepts, Indications, and Considerations. Plast Reconstr Surg Glob Open. 2024;12:e5526.</w:t>
      </w:r>
    </w:p>
    <w:p w14:paraId="537BED41" w14:textId="77777777" w:rsidR="00A845CE" w:rsidRPr="0011555A" w:rsidRDefault="00A845CE" w:rsidP="003A066E">
      <w:pPr>
        <w:pStyle w:val="EndNoteBibliography"/>
        <w:spacing w:after="0"/>
        <w:jc w:val="both"/>
      </w:pPr>
      <w:r w:rsidRPr="0011555A">
        <w:t>2. Degreef I, Lalonde DH. WALANT surgery of the hand: state of the art. EFORT Open Rev. 2024;9:349-56.</w:t>
      </w:r>
    </w:p>
    <w:p w14:paraId="671C34F4" w14:textId="77777777" w:rsidR="00A845CE" w:rsidRPr="0011555A" w:rsidRDefault="00A845CE" w:rsidP="003A066E">
      <w:pPr>
        <w:pStyle w:val="EndNoteBibliography"/>
        <w:spacing w:after="0"/>
        <w:jc w:val="both"/>
      </w:pPr>
      <w:r w:rsidRPr="0011555A">
        <w:t>3. Maliha SG, Cohen O, Jacoby A, Sharma S. A Cost and Efficiency Analysis of the WALANT Technique for the Management of Trigger Finger in a Procedure Room of a Major City Hospital. Plast Reconstr Surg Glob Open. 2019;7:e2509.</w:t>
      </w:r>
    </w:p>
    <w:p w14:paraId="6731E104" w14:textId="77777777" w:rsidR="00A845CE" w:rsidRPr="0011555A" w:rsidRDefault="00A845CE" w:rsidP="003A066E">
      <w:pPr>
        <w:pStyle w:val="EndNoteBibliography"/>
        <w:spacing w:after="0"/>
        <w:jc w:val="both"/>
      </w:pPr>
      <w:r w:rsidRPr="0011555A">
        <w:t>4. Koch O. How to Start WALANT Practice in South Africa: "Service With a Smile if You Are Willing to Wait Awhile.". J Hand Surg Glob Online. 2022;4:467-70.</w:t>
      </w:r>
    </w:p>
    <w:p w14:paraId="135AAE14" w14:textId="77777777" w:rsidR="00A845CE" w:rsidRPr="0011555A" w:rsidRDefault="00A845CE" w:rsidP="003A066E">
      <w:pPr>
        <w:pStyle w:val="EndNoteBibliography"/>
        <w:spacing w:after="0"/>
        <w:jc w:val="both"/>
      </w:pPr>
      <w:r w:rsidRPr="0011555A">
        <w:t>5. Ahmad AA, Lalonde DH. State-of-the-art review: The advantage and use of Wide Awake Local Anaesthesia No Tourniquet (WALANT) for nerve decompression surgery. Int Orthop. 2025;49:959-63.</w:t>
      </w:r>
    </w:p>
    <w:p w14:paraId="625D5702" w14:textId="77777777" w:rsidR="00A845CE" w:rsidRPr="0011555A" w:rsidRDefault="00A845CE" w:rsidP="003A066E">
      <w:pPr>
        <w:pStyle w:val="EndNoteBibliography"/>
        <w:spacing w:after="0"/>
        <w:jc w:val="both"/>
      </w:pPr>
      <w:r w:rsidRPr="0011555A">
        <w:t>6. Ahmad MR, Abdel-Aal MHM, Sakr HA. Evaluation of Wide-Awake Local Anesthesia No Tourniquet Technique for Extremity Surgeries. The Egyptian Journal of Hospital Medicine. 2023;91:4837-40.</w:t>
      </w:r>
    </w:p>
    <w:p w14:paraId="73FFBC15" w14:textId="77777777" w:rsidR="00A845CE" w:rsidRPr="0011555A" w:rsidRDefault="00A845CE" w:rsidP="003A066E">
      <w:pPr>
        <w:pStyle w:val="EndNoteBibliography"/>
        <w:spacing w:after="0"/>
        <w:jc w:val="both"/>
      </w:pPr>
      <w:r w:rsidRPr="0011555A">
        <w:t>7. Thabet MH, Eleowa SAE, Sholkamy KMAE. Safety and Efficiency of Wide-Awake Local Anaesthetic No Tourniquet (WALANT) in Hand Surgery. Al-Azhar International Medical Journal. 2023;4:111-7.</w:t>
      </w:r>
    </w:p>
    <w:p w14:paraId="779DF279" w14:textId="77777777" w:rsidR="00A845CE" w:rsidRPr="0011555A" w:rsidRDefault="00A845CE" w:rsidP="003A066E">
      <w:pPr>
        <w:pStyle w:val="EndNoteBibliography"/>
        <w:spacing w:after="0"/>
        <w:jc w:val="both"/>
      </w:pPr>
      <w:r w:rsidRPr="0011555A">
        <w:t>8. Abd Elhameed Abd Ellateef MA, Hassan KM, Ali AM, Sabry M. Assessment of WALANT Anaesthesia in Flexor Tendon Repair of the Hand. Minia Journal of Medical Research. 2023;34:205-13.</w:t>
      </w:r>
    </w:p>
    <w:p w14:paraId="3DF88569" w14:textId="77777777" w:rsidR="00A845CE" w:rsidRPr="0011555A" w:rsidRDefault="00A845CE" w:rsidP="003A066E">
      <w:pPr>
        <w:pStyle w:val="EndNoteBibliography"/>
        <w:spacing w:after="0"/>
        <w:jc w:val="both"/>
      </w:pPr>
      <w:r w:rsidRPr="0011555A">
        <w:t>9. Siu A, Wong RS, Ahmed Z, Talwar C, Nikkhah D. Patient satisfaction using wide-awake local anaesthesia no tourniquet (WALANT) in adults undergoing elective hand surgery: A systematic review and meta-analysis. J Plast Reconstr Aesthet Surg. 2024;99:475-85.</w:t>
      </w:r>
    </w:p>
    <w:p w14:paraId="585ADBEA" w14:textId="77777777" w:rsidR="00A845CE" w:rsidRPr="0011555A" w:rsidRDefault="00A845CE" w:rsidP="003A066E">
      <w:pPr>
        <w:pStyle w:val="EndNoteBibliography"/>
        <w:spacing w:after="0"/>
        <w:jc w:val="both"/>
      </w:pPr>
      <w:r w:rsidRPr="0011555A">
        <w:t>10. Seretis K, Boptsi A, Boptsi E, Lykoudis EG. The Efficacy of Wide-Awake Local Anesthesia No Tourniquet (WALANT) in Common Plastic Surgery Operations Performed on the Upper Limbs: A Case-Control Study. Life (Basel). 2023;13.</w:t>
      </w:r>
    </w:p>
    <w:p w14:paraId="1D475CDD" w14:textId="77777777" w:rsidR="00A845CE" w:rsidRPr="0011555A" w:rsidRDefault="00A845CE" w:rsidP="003A066E">
      <w:pPr>
        <w:pStyle w:val="EndNoteBibliography"/>
        <w:spacing w:after="0"/>
        <w:jc w:val="both"/>
      </w:pPr>
      <w:r w:rsidRPr="0011555A">
        <w:t>11. Lawand J, Hantouly A, Bouri F, Muneer M, Hagert E. Reporting Clinical Outcomes in Hand Surgery Randomized Controlled Trials: A Systematic Review Using Wide-Awake Local Anesthesia No Tourniquet Studies as a Model. J Hand Surg Glob Online. 2024;6:875-81.</w:t>
      </w:r>
    </w:p>
    <w:p w14:paraId="6BF1A4CD" w14:textId="77777777" w:rsidR="00A845CE" w:rsidRPr="0011555A" w:rsidRDefault="00A845CE" w:rsidP="003A066E">
      <w:pPr>
        <w:pStyle w:val="EndNoteBibliography"/>
        <w:spacing w:after="0"/>
        <w:jc w:val="both"/>
      </w:pPr>
      <w:r w:rsidRPr="0011555A">
        <w:t>12. Abdullah S, Tokiran MF, Ahmad AA, Soh EZF, Makpol S, Sapuan J. Safety of Lidocaine During Wide-Awake Local Anesthesia No Tourniquet for Distal Radius Plating. J Hand Surg Glob Online. 2023;5:196-200.</w:t>
      </w:r>
    </w:p>
    <w:p w14:paraId="0CE532BA" w14:textId="77777777" w:rsidR="00A845CE" w:rsidRPr="0011555A" w:rsidRDefault="00A845CE" w:rsidP="003A066E">
      <w:pPr>
        <w:pStyle w:val="EndNoteBibliography"/>
        <w:spacing w:after="0"/>
        <w:jc w:val="both"/>
      </w:pPr>
      <w:r w:rsidRPr="0011555A">
        <w:lastRenderedPageBreak/>
        <w:t>13. Ki Lee S, Gul Kim S, Sik Choy W. A randomized controlled trial of minor hand surgeries comparing wide awake local anesthesia no tourniquet and local anesthesia with tourniquet. Orthop Traumatol Surg Res. 2020;106:1645-51.</w:t>
      </w:r>
    </w:p>
    <w:p w14:paraId="2145D500" w14:textId="77777777" w:rsidR="00A845CE" w:rsidRPr="0011555A" w:rsidRDefault="00A845CE" w:rsidP="003A066E">
      <w:pPr>
        <w:pStyle w:val="EndNoteBibliography"/>
        <w:spacing w:after="0"/>
        <w:jc w:val="both"/>
      </w:pPr>
      <w:r w:rsidRPr="0011555A">
        <w:t>14. Mohammed AK, Lalonde DH. Wide Awake Tendon Transfers in Leprosy Patients in India. Hand Clin. 2019;35:67-84.</w:t>
      </w:r>
    </w:p>
    <w:p w14:paraId="182A9DA5" w14:textId="77777777" w:rsidR="00A845CE" w:rsidRPr="0011555A" w:rsidRDefault="00A845CE" w:rsidP="003A066E">
      <w:pPr>
        <w:pStyle w:val="EndNoteBibliography"/>
        <w:spacing w:after="0"/>
        <w:jc w:val="both"/>
      </w:pPr>
      <w:r w:rsidRPr="0011555A">
        <w:t>15. Müller CT, Christen T, Heidekruger PI, Lamouille J, Raffoul W, McKee D, et al. Wide-awake Anesthesia No Tourniquet Trapeziometacarpal Joint Prosthesis Implantation. Plast Reconstr Surg Glob Open. 2018;6:e1714.</w:t>
      </w:r>
    </w:p>
    <w:p w14:paraId="2FA2D996" w14:textId="77777777" w:rsidR="00A845CE" w:rsidRPr="0011555A" w:rsidRDefault="00A845CE" w:rsidP="003A066E">
      <w:pPr>
        <w:pStyle w:val="EndNoteBibliography"/>
        <w:spacing w:after="0"/>
        <w:jc w:val="both"/>
      </w:pPr>
      <w:r w:rsidRPr="0011555A">
        <w:t>16. Larsen LP, Hansen TB. Total trapeziometacarpal joint arthroplasty using wide awake local anaesthetic no tourniquet. J Hand Surg Eur Vol. 2021;46:125-30.</w:t>
      </w:r>
    </w:p>
    <w:p w14:paraId="766EEF00" w14:textId="77777777" w:rsidR="00A845CE" w:rsidRPr="0011555A" w:rsidRDefault="00A845CE" w:rsidP="003A066E">
      <w:pPr>
        <w:pStyle w:val="EndNoteBibliography"/>
        <w:spacing w:after="0"/>
        <w:jc w:val="both"/>
      </w:pPr>
      <w:r w:rsidRPr="0011555A">
        <w:t>17. Evangelista TMP, Pua JHC, Evangelista-Huber MTP. Wide-Awake Local Anesthesia No Tourniquet (WALANT) versus Local or Intravenous Regional Anesthesia with Tourniquet in Atraumatic Hand Cases in Orthopedics: A Systematic Review and Meta-Analysis. J Hand Surg Asian Pac Vol. 2019;24:469-76.</w:t>
      </w:r>
    </w:p>
    <w:p w14:paraId="459D6A78" w14:textId="77777777" w:rsidR="00A845CE" w:rsidRPr="0011555A" w:rsidRDefault="00A845CE" w:rsidP="003A066E">
      <w:pPr>
        <w:pStyle w:val="EndNoteBibliography"/>
        <w:spacing w:after="0"/>
        <w:jc w:val="both"/>
      </w:pPr>
      <w:r w:rsidRPr="0011555A">
        <w:t>18. Tulipan JE, Kim N, Abboudi J, Jones C, Liss F, Kirkpatrick W, et al. Open Carpal Tunnel Release Outcomes: Performed Wide Awake versus with Sedation. J Hand Microsurg. 2017;9:74-9.</w:t>
      </w:r>
    </w:p>
    <w:p w14:paraId="7C452BF6" w14:textId="77777777" w:rsidR="00A845CE" w:rsidRPr="0011555A" w:rsidRDefault="00A845CE" w:rsidP="003A066E">
      <w:pPr>
        <w:pStyle w:val="EndNoteBibliography"/>
        <w:jc w:val="both"/>
      </w:pPr>
      <w:r w:rsidRPr="0011555A">
        <w:t>19. Serotte JC, Chen K, Wolf J, Conti Mica M. The Use of the Procedure Room for Wide-Awake Local Anesthesia, No Tourniquet Hand Surgery in "High-Risk" Patients. J Hand Surg Am. 2024.</w:t>
      </w:r>
    </w:p>
    <w:p w14:paraId="7E7FC896" w14:textId="1491282F" w:rsidR="00795238" w:rsidRDefault="000245C3" w:rsidP="005C05A7">
      <w:pPr>
        <w:pStyle w:val="EndNoteBibliography"/>
        <w:jc w:val="both"/>
        <w:rPr>
          <w:szCs w:val="24"/>
        </w:rPr>
      </w:pPr>
      <w:r w:rsidRPr="0011555A">
        <w:rPr>
          <w:szCs w:val="24"/>
        </w:rPr>
        <w:fldChar w:fldCharType="end"/>
      </w:r>
    </w:p>
    <w:p w14:paraId="1FBF59CF" w14:textId="77777777" w:rsidR="00795238" w:rsidRDefault="00795238">
      <w:pPr>
        <w:rPr>
          <w:rFonts w:ascii="Times New Roman" w:hAnsi="Times New Roman" w:cs="Times New Roman"/>
          <w:noProof/>
          <w:sz w:val="24"/>
          <w:szCs w:val="24"/>
        </w:rPr>
      </w:pPr>
      <w:r>
        <w:rPr>
          <w:szCs w:val="24"/>
        </w:rPr>
        <w:br w:type="page"/>
      </w:r>
    </w:p>
    <w:p w14:paraId="4432CF54" w14:textId="77777777" w:rsidR="0042572C" w:rsidRPr="0011555A" w:rsidRDefault="0042572C" w:rsidP="0042572C">
      <w:pPr>
        <w:pStyle w:val="Caption"/>
        <w:rPr>
          <w:rFonts w:eastAsia="Aptos"/>
        </w:rPr>
      </w:pPr>
      <w:r w:rsidRPr="0011555A">
        <w:rPr>
          <w:rFonts w:eastAsia="Aptos"/>
        </w:rPr>
        <w:lastRenderedPageBreak/>
        <w:t>Table 1: General and procedural characteristics of the studied patients (n = 50).</w:t>
      </w:r>
    </w:p>
    <w:tbl>
      <w:tblPr>
        <w:tblW w:w="5000" w:type="pct"/>
        <w:tblBorders>
          <w:top w:val="single" w:sz="12" w:space="0" w:color="auto"/>
          <w:bottom w:val="single" w:sz="12" w:space="0" w:color="auto"/>
        </w:tblBorders>
        <w:tblLook w:val="04A0" w:firstRow="1" w:lastRow="0" w:firstColumn="1" w:lastColumn="0" w:noHBand="0" w:noVBand="1"/>
      </w:tblPr>
      <w:tblGrid>
        <w:gridCol w:w="4828"/>
        <w:gridCol w:w="2008"/>
        <w:gridCol w:w="1804"/>
      </w:tblGrid>
      <w:tr w:rsidR="0042572C" w:rsidRPr="0011555A" w14:paraId="4F602F95" w14:textId="77777777" w:rsidTr="00DE6595">
        <w:trPr>
          <w:trHeight w:val="310"/>
        </w:trPr>
        <w:tc>
          <w:tcPr>
            <w:tcW w:w="2794" w:type="pct"/>
            <w:tcBorders>
              <w:top w:val="single" w:sz="12" w:space="0" w:color="auto"/>
              <w:bottom w:val="single" w:sz="12" w:space="0" w:color="auto"/>
            </w:tcBorders>
            <w:noWrap/>
            <w:vAlign w:val="bottom"/>
            <w:hideMark/>
          </w:tcPr>
          <w:p w14:paraId="6C48A1A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General characteristics</w:t>
            </w:r>
          </w:p>
        </w:tc>
        <w:tc>
          <w:tcPr>
            <w:tcW w:w="1162" w:type="pct"/>
            <w:tcBorders>
              <w:top w:val="single" w:sz="12" w:space="0" w:color="auto"/>
              <w:bottom w:val="single" w:sz="12" w:space="0" w:color="auto"/>
            </w:tcBorders>
            <w:noWrap/>
            <w:vAlign w:val="bottom"/>
            <w:hideMark/>
          </w:tcPr>
          <w:p w14:paraId="396D8EB5"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p>
        </w:tc>
        <w:tc>
          <w:tcPr>
            <w:tcW w:w="1044" w:type="pct"/>
            <w:tcBorders>
              <w:top w:val="single" w:sz="12" w:space="0" w:color="auto"/>
              <w:bottom w:val="single" w:sz="12" w:space="0" w:color="auto"/>
            </w:tcBorders>
            <w:noWrap/>
            <w:vAlign w:val="bottom"/>
            <w:hideMark/>
          </w:tcPr>
          <w:p w14:paraId="3B087AEA" w14:textId="77777777" w:rsidR="0042572C" w:rsidRPr="0011555A" w:rsidRDefault="0042572C" w:rsidP="00DE6595">
            <w:pPr>
              <w:spacing w:after="0" w:line="240" w:lineRule="auto"/>
              <w:rPr>
                <w:rFonts w:asciiTheme="majorBidi" w:eastAsia="Times New Roman" w:hAnsiTheme="majorBidi" w:cstheme="majorBidi"/>
                <w:sz w:val="24"/>
                <w:szCs w:val="24"/>
              </w:rPr>
            </w:pPr>
          </w:p>
        </w:tc>
      </w:tr>
      <w:tr w:rsidR="0042572C" w:rsidRPr="0011555A" w14:paraId="70CC628B" w14:textId="77777777" w:rsidTr="00DE6595">
        <w:trPr>
          <w:trHeight w:val="310"/>
        </w:trPr>
        <w:tc>
          <w:tcPr>
            <w:tcW w:w="2794" w:type="pct"/>
            <w:tcBorders>
              <w:top w:val="single" w:sz="12" w:space="0" w:color="auto"/>
            </w:tcBorders>
            <w:noWrap/>
            <w:vAlign w:val="bottom"/>
            <w:hideMark/>
          </w:tcPr>
          <w:p w14:paraId="380E5965"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Age (years)</w:t>
            </w:r>
          </w:p>
        </w:tc>
        <w:tc>
          <w:tcPr>
            <w:tcW w:w="1162" w:type="pct"/>
            <w:tcBorders>
              <w:top w:val="single" w:sz="12" w:space="0" w:color="auto"/>
            </w:tcBorders>
            <w:noWrap/>
            <w:vAlign w:val="center"/>
            <w:hideMark/>
          </w:tcPr>
          <w:p w14:paraId="1988519C"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Median (range)</w:t>
            </w:r>
          </w:p>
        </w:tc>
        <w:tc>
          <w:tcPr>
            <w:tcW w:w="1044" w:type="pct"/>
            <w:tcBorders>
              <w:top w:val="single" w:sz="12" w:space="0" w:color="auto"/>
            </w:tcBorders>
            <w:noWrap/>
            <w:vAlign w:val="center"/>
            <w:hideMark/>
          </w:tcPr>
          <w:p w14:paraId="1DAF7FF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38 (18 - 66)</w:t>
            </w:r>
          </w:p>
        </w:tc>
      </w:tr>
      <w:tr w:rsidR="0042572C" w:rsidRPr="0011555A" w14:paraId="11678872" w14:textId="77777777" w:rsidTr="00DE6595">
        <w:trPr>
          <w:trHeight w:val="310"/>
        </w:trPr>
        <w:tc>
          <w:tcPr>
            <w:tcW w:w="2794" w:type="pct"/>
            <w:noWrap/>
            <w:vAlign w:val="bottom"/>
            <w:hideMark/>
          </w:tcPr>
          <w:p w14:paraId="6BED6375"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Sex</w:t>
            </w:r>
          </w:p>
        </w:tc>
        <w:tc>
          <w:tcPr>
            <w:tcW w:w="1162" w:type="pct"/>
            <w:noWrap/>
            <w:vAlign w:val="bottom"/>
            <w:hideMark/>
          </w:tcPr>
          <w:p w14:paraId="0D0D6E2D"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p>
        </w:tc>
        <w:tc>
          <w:tcPr>
            <w:tcW w:w="1044" w:type="pct"/>
            <w:noWrap/>
            <w:vAlign w:val="bottom"/>
            <w:hideMark/>
          </w:tcPr>
          <w:p w14:paraId="574872C3" w14:textId="77777777" w:rsidR="0042572C" w:rsidRPr="0011555A" w:rsidRDefault="0042572C" w:rsidP="00DE6595">
            <w:pPr>
              <w:spacing w:after="0" w:line="240" w:lineRule="auto"/>
              <w:rPr>
                <w:rFonts w:asciiTheme="majorBidi" w:eastAsia="Times New Roman" w:hAnsiTheme="majorBidi" w:cstheme="majorBidi"/>
                <w:sz w:val="24"/>
                <w:szCs w:val="24"/>
              </w:rPr>
            </w:pPr>
          </w:p>
        </w:tc>
      </w:tr>
      <w:tr w:rsidR="0042572C" w:rsidRPr="0011555A" w14:paraId="465F2FC2" w14:textId="77777777" w:rsidTr="00DE6595">
        <w:trPr>
          <w:trHeight w:val="310"/>
        </w:trPr>
        <w:tc>
          <w:tcPr>
            <w:tcW w:w="2794" w:type="pct"/>
            <w:noWrap/>
            <w:vAlign w:val="bottom"/>
            <w:hideMark/>
          </w:tcPr>
          <w:p w14:paraId="4BEA3C94"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Males</w:t>
            </w:r>
          </w:p>
        </w:tc>
        <w:tc>
          <w:tcPr>
            <w:tcW w:w="1162" w:type="pct"/>
            <w:noWrap/>
            <w:vAlign w:val="center"/>
            <w:hideMark/>
          </w:tcPr>
          <w:p w14:paraId="7422D853"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noWrap/>
            <w:vAlign w:val="center"/>
            <w:hideMark/>
          </w:tcPr>
          <w:p w14:paraId="77D1CAD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23 (46)</w:t>
            </w:r>
          </w:p>
        </w:tc>
      </w:tr>
      <w:tr w:rsidR="0042572C" w:rsidRPr="0011555A" w14:paraId="16B713B0" w14:textId="77777777" w:rsidTr="00DE6595">
        <w:trPr>
          <w:trHeight w:val="310"/>
        </w:trPr>
        <w:tc>
          <w:tcPr>
            <w:tcW w:w="2794" w:type="pct"/>
            <w:noWrap/>
            <w:vAlign w:val="bottom"/>
            <w:hideMark/>
          </w:tcPr>
          <w:p w14:paraId="4CB81259"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Females</w:t>
            </w:r>
          </w:p>
        </w:tc>
        <w:tc>
          <w:tcPr>
            <w:tcW w:w="1162" w:type="pct"/>
            <w:noWrap/>
            <w:vAlign w:val="center"/>
            <w:hideMark/>
          </w:tcPr>
          <w:p w14:paraId="4CA4B740"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noWrap/>
            <w:vAlign w:val="center"/>
            <w:hideMark/>
          </w:tcPr>
          <w:p w14:paraId="6616E0B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27 (54)</w:t>
            </w:r>
          </w:p>
        </w:tc>
      </w:tr>
      <w:tr w:rsidR="0042572C" w:rsidRPr="0011555A" w14:paraId="07DFB099" w14:textId="77777777" w:rsidTr="00DE6595">
        <w:trPr>
          <w:trHeight w:val="310"/>
        </w:trPr>
        <w:tc>
          <w:tcPr>
            <w:tcW w:w="2794" w:type="pct"/>
            <w:noWrap/>
            <w:vAlign w:val="bottom"/>
            <w:hideMark/>
          </w:tcPr>
          <w:p w14:paraId="087B068E"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ASA</w:t>
            </w:r>
          </w:p>
        </w:tc>
        <w:tc>
          <w:tcPr>
            <w:tcW w:w="1162" w:type="pct"/>
            <w:noWrap/>
            <w:vAlign w:val="bottom"/>
            <w:hideMark/>
          </w:tcPr>
          <w:p w14:paraId="72B7313A"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p>
        </w:tc>
        <w:tc>
          <w:tcPr>
            <w:tcW w:w="1044" w:type="pct"/>
            <w:noWrap/>
            <w:vAlign w:val="center"/>
            <w:hideMark/>
          </w:tcPr>
          <w:p w14:paraId="78E86E62" w14:textId="77777777" w:rsidR="0042572C" w:rsidRPr="0011555A" w:rsidRDefault="0042572C" w:rsidP="00DE6595">
            <w:pPr>
              <w:spacing w:after="0" w:line="240" w:lineRule="auto"/>
              <w:rPr>
                <w:rFonts w:asciiTheme="majorBidi" w:eastAsia="Times New Roman" w:hAnsiTheme="majorBidi" w:cstheme="majorBidi"/>
                <w:sz w:val="24"/>
                <w:szCs w:val="24"/>
              </w:rPr>
            </w:pPr>
          </w:p>
        </w:tc>
      </w:tr>
      <w:tr w:rsidR="0042572C" w:rsidRPr="0011555A" w14:paraId="38260337" w14:textId="77777777" w:rsidTr="00DE6595">
        <w:trPr>
          <w:trHeight w:val="310"/>
        </w:trPr>
        <w:tc>
          <w:tcPr>
            <w:tcW w:w="2794" w:type="pct"/>
            <w:noWrap/>
            <w:vAlign w:val="bottom"/>
            <w:hideMark/>
          </w:tcPr>
          <w:p w14:paraId="2B868EF6"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I</w:t>
            </w:r>
          </w:p>
        </w:tc>
        <w:tc>
          <w:tcPr>
            <w:tcW w:w="1162" w:type="pct"/>
            <w:noWrap/>
            <w:vAlign w:val="center"/>
            <w:hideMark/>
          </w:tcPr>
          <w:p w14:paraId="642741BE"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noWrap/>
            <w:vAlign w:val="center"/>
            <w:hideMark/>
          </w:tcPr>
          <w:p w14:paraId="5111EFB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36 (72)</w:t>
            </w:r>
          </w:p>
        </w:tc>
      </w:tr>
      <w:tr w:rsidR="0042572C" w:rsidRPr="0011555A" w14:paraId="2B86CADE" w14:textId="77777777" w:rsidTr="00DE6595">
        <w:trPr>
          <w:trHeight w:val="310"/>
        </w:trPr>
        <w:tc>
          <w:tcPr>
            <w:tcW w:w="2794" w:type="pct"/>
            <w:noWrap/>
            <w:vAlign w:val="bottom"/>
            <w:hideMark/>
          </w:tcPr>
          <w:p w14:paraId="2556369D"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II</w:t>
            </w:r>
          </w:p>
        </w:tc>
        <w:tc>
          <w:tcPr>
            <w:tcW w:w="1162" w:type="pct"/>
            <w:noWrap/>
            <w:vAlign w:val="center"/>
            <w:hideMark/>
          </w:tcPr>
          <w:p w14:paraId="7779F282"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noWrap/>
            <w:vAlign w:val="center"/>
            <w:hideMark/>
          </w:tcPr>
          <w:p w14:paraId="1C595E6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14 (28)</w:t>
            </w:r>
          </w:p>
        </w:tc>
      </w:tr>
      <w:tr w:rsidR="0042572C" w:rsidRPr="0011555A" w14:paraId="1276C9E1" w14:textId="77777777" w:rsidTr="00DE6595">
        <w:trPr>
          <w:trHeight w:val="310"/>
        </w:trPr>
        <w:tc>
          <w:tcPr>
            <w:tcW w:w="2794" w:type="pct"/>
            <w:noWrap/>
            <w:vAlign w:val="bottom"/>
            <w:hideMark/>
          </w:tcPr>
          <w:p w14:paraId="6D216463"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BMI (kg/m²)</w:t>
            </w:r>
          </w:p>
        </w:tc>
        <w:tc>
          <w:tcPr>
            <w:tcW w:w="1162" w:type="pct"/>
            <w:noWrap/>
            <w:vAlign w:val="center"/>
            <w:hideMark/>
          </w:tcPr>
          <w:p w14:paraId="35151D95"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Mean ±SD</w:t>
            </w:r>
          </w:p>
        </w:tc>
        <w:tc>
          <w:tcPr>
            <w:tcW w:w="1044" w:type="pct"/>
            <w:noWrap/>
            <w:vAlign w:val="center"/>
            <w:hideMark/>
          </w:tcPr>
          <w:p w14:paraId="061C9B1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31 ±6</w:t>
            </w:r>
          </w:p>
        </w:tc>
      </w:tr>
      <w:tr w:rsidR="0042572C" w:rsidRPr="0011555A" w14:paraId="3C463F67" w14:textId="77777777" w:rsidTr="00DE6595">
        <w:trPr>
          <w:trHeight w:val="310"/>
        </w:trPr>
        <w:tc>
          <w:tcPr>
            <w:tcW w:w="2794" w:type="pct"/>
            <w:noWrap/>
            <w:vAlign w:val="bottom"/>
            <w:hideMark/>
          </w:tcPr>
          <w:p w14:paraId="722B6E43"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Onset of block (min)</w:t>
            </w:r>
          </w:p>
        </w:tc>
        <w:tc>
          <w:tcPr>
            <w:tcW w:w="1162" w:type="pct"/>
            <w:noWrap/>
            <w:vAlign w:val="center"/>
            <w:hideMark/>
          </w:tcPr>
          <w:p w14:paraId="07320305"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Mean ±SD</w:t>
            </w:r>
          </w:p>
        </w:tc>
        <w:tc>
          <w:tcPr>
            <w:tcW w:w="1044" w:type="pct"/>
            <w:noWrap/>
            <w:vAlign w:val="center"/>
            <w:hideMark/>
          </w:tcPr>
          <w:p w14:paraId="24AA81E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 ±1</w:t>
            </w:r>
          </w:p>
        </w:tc>
      </w:tr>
      <w:tr w:rsidR="0042572C" w:rsidRPr="0011555A" w14:paraId="6A09CAEA" w14:textId="77777777" w:rsidTr="00DE6595">
        <w:trPr>
          <w:trHeight w:val="310"/>
        </w:trPr>
        <w:tc>
          <w:tcPr>
            <w:tcW w:w="2794" w:type="pct"/>
            <w:noWrap/>
            <w:vAlign w:val="bottom"/>
            <w:hideMark/>
          </w:tcPr>
          <w:p w14:paraId="6DFB2D0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Open procedure</w:t>
            </w:r>
          </w:p>
        </w:tc>
        <w:tc>
          <w:tcPr>
            <w:tcW w:w="1162" w:type="pct"/>
            <w:noWrap/>
            <w:vAlign w:val="center"/>
            <w:hideMark/>
          </w:tcPr>
          <w:p w14:paraId="57FA705B"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noWrap/>
            <w:vAlign w:val="center"/>
            <w:hideMark/>
          </w:tcPr>
          <w:p w14:paraId="3DB5299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28 (56)</w:t>
            </w:r>
          </w:p>
        </w:tc>
      </w:tr>
      <w:tr w:rsidR="0042572C" w:rsidRPr="0011555A" w14:paraId="03CFEE0E" w14:textId="77777777" w:rsidTr="00DE6595">
        <w:trPr>
          <w:trHeight w:val="310"/>
        </w:trPr>
        <w:tc>
          <w:tcPr>
            <w:tcW w:w="2794" w:type="pct"/>
            <w:noWrap/>
            <w:vAlign w:val="bottom"/>
            <w:hideMark/>
          </w:tcPr>
          <w:p w14:paraId="14BA6846"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Side of surgery</w:t>
            </w:r>
          </w:p>
        </w:tc>
        <w:tc>
          <w:tcPr>
            <w:tcW w:w="1162" w:type="pct"/>
            <w:noWrap/>
            <w:vAlign w:val="center"/>
            <w:hideMark/>
          </w:tcPr>
          <w:p w14:paraId="4E3F032C"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p>
        </w:tc>
        <w:tc>
          <w:tcPr>
            <w:tcW w:w="1044" w:type="pct"/>
            <w:noWrap/>
            <w:vAlign w:val="center"/>
            <w:hideMark/>
          </w:tcPr>
          <w:p w14:paraId="62697C3C"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r>
      <w:tr w:rsidR="0042572C" w:rsidRPr="0011555A" w14:paraId="08D8AC11" w14:textId="77777777" w:rsidTr="00DE6595">
        <w:trPr>
          <w:trHeight w:val="310"/>
        </w:trPr>
        <w:tc>
          <w:tcPr>
            <w:tcW w:w="2794" w:type="pct"/>
            <w:noWrap/>
            <w:vAlign w:val="bottom"/>
            <w:hideMark/>
          </w:tcPr>
          <w:p w14:paraId="5AEC43E9"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Right</w:t>
            </w:r>
          </w:p>
        </w:tc>
        <w:tc>
          <w:tcPr>
            <w:tcW w:w="1162" w:type="pct"/>
            <w:noWrap/>
            <w:vAlign w:val="center"/>
            <w:hideMark/>
          </w:tcPr>
          <w:p w14:paraId="34F61DA8"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noWrap/>
            <w:vAlign w:val="center"/>
            <w:hideMark/>
          </w:tcPr>
          <w:p w14:paraId="60DC91F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25 (50)</w:t>
            </w:r>
          </w:p>
        </w:tc>
      </w:tr>
      <w:tr w:rsidR="0042572C" w:rsidRPr="0011555A" w14:paraId="56F63BE8" w14:textId="77777777" w:rsidTr="00DE6595">
        <w:trPr>
          <w:trHeight w:val="310"/>
        </w:trPr>
        <w:tc>
          <w:tcPr>
            <w:tcW w:w="2794" w:type="pct"/>
            <w:noWrap/>
            <w:vAlign w:val="bottom"/>
            <w:hideMark/>
          </w:tcPr>
          <w:p w14:paraId="7B4DBAE6"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Left</w:t>
            </w:r>
          </w:p>
        </w:tc>
        <w:tc>
          <w:tcPr>
            <w:tcW w:w="1162" w:type="pct"/>
            <w:noWrap/>
            <w:vAlign w:val="center"/>
            <w:hideMark/>
          </w:tcPr>
          <w:p w14:paraId="700808A1"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noWrap/>
            <w:vAlign w:val="center"/>
            <w:hideMark/>
          </w:tcPr>
          <w:p w14:paraId="7F400B1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25 (50)</w:t>
            </w:r>
          </w:p>
        </w:tc>
      </w:tr>
      <w:tr w:rsidR="0042572C" w:rsidRPr="0011555A" w14:paraId="22098173" w14:textId="77777777" w:rsidTr="00DE6595">
        <w:trPr>
          <w:trHeight w:val="310"/>
        </w:trPr>
        <w:tc>
          <w:tcPr>
            <w:tcW w:w="2794" w:type="pct"/>
            <w:noWrap/>
            <w:vAlign w:val="bottom"/>
            <w:hideMark/>
          </w:tcPr>
          <w:p w14:paraId="3F65294B"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Surgery duration (min)</w:t>
            </w:r>
          </w:p>
        </w:tc>
        <w:tc>
          <w:tcPr>
            <w:tcW w:w="1162" w:type="pct"/>
            <w:noWrap/>
            <w:vAlign w:val="center"/>
            <w:hideMark/>
          </w:tcPr>
          <w:p w14:paraId="26EDFF4F"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Median (range)</w:t>
            </w:r>
          </w:p>
        </w:tc>
        <w:tc>
          <w:tcPr>
            <w:tcW w:w="1044" w:type="pct"/>
            <w:noWrap/>
            <w:vAlign w:val="center"/>
            <w:hideMark/>
          </w:tcPr>
          <w:p w14:paraId="1368441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45 (25 - 130)</w:t>
            </w:r>
          </w:p>
        </w:tc>
      </w:tr>
      <w:tr w:rsidR="0042572C" w:rsidRPr="0011555A" w14:paraId="01CCCD0A" w14:textId="77777777" w:rsidTr="00DE6595">
        <w:trPr>
          <w:trHeight w:val="310"/>
        </w:trPr>
        <w:tc>
          <w:tcPr>
            <w:tcW w:w="2794" w:type="pct"/>
            <w:noWrap/>
            <w:vAlign w:val="bottom"/>
            <w:hideMark/>
          </w:tcPr>
          <w:p w14:paraId="61B7D0BF"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Need for tourniquet</w:t>
            </w:r>
          </w:p>
        </w:tc>
        <w:tc>
          <w:tcPr>
            <w:tcW w:w="1162" w:type="pct"/>
            <w:noWrap/>
            <w:vAlign w:val="center"/>
            <w:hideMark/>
          </w:tcPr>
          <w:p w14:paraId="63D02386"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noWrap/>
            <w:vAlign w:val="center"/>
            <w:hideMark/>
          </w:tcPr>
          <w:p w14:paraId="42EFBA5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11 (22)</w:t>
            </w:r>
          </w:p>
        </w:tc>
      </w:tr>
      <w:tr w:rsidR="0042572C" w:rsidRPr="0011555A" w14:paraId="3AAAFD6C" w14:textId="77777777" w:rsidTr="00DE6595">
        <w:trPr>
          <w:trHeight w:val="310"/>
        </w:trPr>
        <w:tc>
          <w:tcPr>
            <w:tcW w:w="2794" w:type="pct"/>
            <w:tcBorders>
              <w:bottom w:val="single" w:sz="12" w:space="0" w:color="auto"/>
            </w:tcBorders>
            <w:noWrap/>
            <w:vAlign w:val="bottom"/>
            <w:hideMark/>
          </w:tcPr>
          <w:p w14:paraId="28E2B0E8"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Need for GA</w:t>
            </w:r>
          </w:p>
        </w:tc>
        <w:tc>
          <w:tcPr>
            <w:tcW w:w="1162" w:type="pct"/>
            <w:tcBorders>
              <w:bottom w:val="single" w:sz="12" w:space="0" w:color="auto"/>
            </w:tcBorders>
            <w:noWrap/>
            <w:vAlign w:val="center"/>
            <w:hideMark/>
          </w:tcPr>
          <w:p w14:paraId="1BA97792"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044" w:type="pct"/>
            <w:tcBorders>
              <w:bottom w:val="single" w:sz="12" w:space="0" w:color="auto"/>
            </w:tcBorders>
            <w:noWrap/>
            <w:vAlign w:val="center"/>
            <w:hideMark/>
          </w:tcPr>
          <w:p w14:paraId="4F5CEAD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9 (18)</w:t>
            </w:r>
          </w:p>
        </w:tc>
      </w:tr>
    </w:tbl>
    <w:p w14:paraId="4CC8E99B" w14:textId="77777777" w:rsidR="0042572C" w:rsidRPr="0011555A" w:rsidRDefault="0042572C" w:rsidP="0042572C">
      <w:pPr>
        <w:pStyle w:val="F-note"/>
        <w:rPr>
          <w:rFonts w:eastAsia="Aptos"/>
        </w:rPr>
      </w:pPr>
      <w:r w:rsidRPr="0011555A">
        <w:rPr>
          <w:rFonts w:eastAsia="Aptos"/>
        </w:rPr>
        <w:t>n: number, BMI: Body Mass Index, ASA: American Society of Anesthesiologists, min: minutes, SD: Standard Deviation, GA: General Anesthesia.</w:t>
      </w:r>
    </w:p>
    <w:p w14:paraId="52B6C330" w14:textId="77777777" w:rsidR="0042572C" w:rsidRPr="0011555A" w:rsidRDefault="0042572C" w:rsidP="0042572C">
      <w:pPr>
        <w:spacing w:line="278" w:lineRule="auto"/>
        <w:rPr>
          <w:rFonts w:asciiTheme="majorBidi" w:eastAsia="Aptos" w:hAnsiTheme="majorBidi" w:cstheme="majorBidi"/>
          <w:b/>
          <w:bCs/>
          <w:kern w:val="2"/>
          <w:sz w:val="24"/>
          <w:szCs w:val="24"/>
          <w14:ligatures w14:val="standardContextual"/>
        </w:rPr>
      </w:pPr>
      <w:r w:rsidRPr="0011555A">
        <w:rPr>
          <w:rFonts w:asciiTheme="majorBidi" w:eastAsia="Aptos" w:hAnsiTheme="majorBidi" w:cstheme="majorBidi"/>
          <w:b/>
          <w:bCs/>
          <w:kern w:val="2"/>
          <w:sz w:val="24"/>
          <w:szCs w:val="24"/>
          <w14:ligatures w14:val="standardContextual"/>
        </w:rPr>
        <w:br w:type="page"/>
      </w:r>
    </w:p>
    <w:p w14:paraId="486AE726" w14:textId="77777777" w:rsidR="0042572C" w:rsidRPr="0011555A" w:rsidRDefault="0042572C" w:rsidP="0042572C">
      <w:pPr>
        <w:keepNext/>
        <w:spacing w:after="0" w:line="240" w:lineRule="auto"/>
        <w:jc w:val="both"/>
        <w:rPr>
          <w:rFonts w:asciiTheme="majorBidi" w:eastAsia="Aptos" w:hAnsiTheme="majorBidi" w:cstheme="majorBidi"/>
          <w:b/>
          <w:bCs/>
          <w:kern w:val="2"/>
          <w:sz w:val="24"/>
          <w:szCs w:val="24"/>
          <w14:ligatures w14:val="standardContextual"/>
        </w:rPr>
      </w:pPr>
      <w:r w:rsidRPr="0011555A">
        <w:rPr>
          <w:rFonts w:asciiTheme="majorBidi" w:eastAsia="Aptos" w:hAnsiTheme="majorBidi" w:cstheme="majorBidi"/>
          <w:b/>
          <w:bCs/>
          <w:kern w:val="2"/>
          <w:sz w:val="24"/>
          <w:szCs w:val="24"/>
          <w14:ligatures w14:val="standardContextual"/>
        </w:rPr>
        <w:lastRenderedPageBreak/>
        <w:t>Table 2: Analgesia requirement, first analgesic request time, opioid requirements, postoperative complications, hospital length of stay, patients’ and surgeons’ satisfaction levels in the studied patients (n = 50).</w:t>
      </w:r>
    </w:p>
    <w:tbl>
      <w:tblPr>
        <w:tblW w:w="5144" w:type="pct"/>
        <w:tblBorders>
          <w:top w:val="single" w:sz="12" w:space="0" w:color="auto"/>
          <w:bottom w:val="single" w:sz="12" w:space="0" w:color="auto"/>
        </w:tblBorders>
        <w:tblLayout w:type="fixed"/>
        <w:tblLook w:val="04A0" w:firstRow="1" w:lastRow="0" w:firstColumn="1" w:lastColumn="0" w:noHBand="0" w:noVBand="1"/>
      </w:tblPr>
      <w:tblGrid>
        <w:gridCol w:w="4485"/>
        <w:gridCol w:w="2741"/>
        <w:gridCol w:w="1636"/>
        <w:gridCol w:w="27"/>
      </w:tblGrid>
      <w:tr w:rsidR="0042572C" w:rsidRPr="0011555A" w14:paraId="03D84AA7" w14:textId="77777777" w:rsidTr="00DE6595">
        <w:trPr>
          <w:gridAfter w:val="1"/>
          <w:wAfter w:w="15" w:type="pct"/>
          <w:trHeight w:val="310"/>
        </w:trPr>
        <w:tc>
          <w:tcPr>
            <w:tcW w:w="2523" w:type="pct"/>
            <w:tcBorders>
              <w:top w:val="single" w:sz="12" w:space="0" w:color="auto"/>
              <w:bottom w:val="single" w:sz="12" w:space="0" w:color="auto"/>
            </w:tcBorders>
            <w:noWrap/>
            <w:vAlign w:val="center"/>
          </w:tcPr>
          <w:p w14:paraId="4832670F"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Analgesia requirement &amp; morphine consumption</w:t>
            </w:r>
          </w:p>
        </w:tc>
        <w:tc>
          <w:tcPr>
            <w:tcW w:w="1542" w:type="pct"/>
            <w:tcBorders>
              <w:top w:val="single" w:sz="12" w:space="0" w:color="auto"/>
              <w:bottom w:val="single" w:sz="12" w:space="0" w:color="auto"/>
            </w:tcBorders>
            <w:noWrap/>
            <w:vAlign w:val="center"/>
          </w:tcPr>
          <w:p w14:paraId="50A8848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920" w:type="pct"/>
            <w:tcBorders>
              <w:top w:val="single" w:sz="12" w:space="0" w:color="auto"/>
              <w:bottom w:val="single" w:sz="12" w:space="0" w:color="auto"/>
            </w:tcBorders>
            <w:noWrap/>
            <w:vAlign w:val="center"/>
          </w:tcPr>
          <w:p w14:paraId="6BF07C2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r>
      <w:tr w:rsidR="0042572C" w:rsidRPr="0011555A" w14:paraId="1B745403" w14:textId="77777777" w:rsidTr="00DE6595">
        <w:trPr>
          <w:gridAfter w:val="1"/>
          <w:wAfter w:w="15" w:type="pct"/>
          <w:trHeight w:val="310"/>
        </w:trPr>
        <w:tc>
          <w:tcPr>
            <w:tcW w:w="2523" w:type="pct"/>
            <w:tcBorders>
              <w:top w:val="single" w:sz="12" w:space="0" w:color="auto"/>
            </w:tcBorders>
            <w:noWrap/>
            <w:vAlign w:val="center"/>
          </w:tcPr>
          <w:p w14:paraId="1BB491A8"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Need for analgesia</w:t>
            </w:r>
          </w:p>
        </w:tc>
        <w:tc>
          <w:tcPr>
            <w:tcW w:w="1542" w:type="pct"/>
            <w:tcBorders>
              <w:top w:val="single" w:sz="12" w:space="0" w:color="auto"/>
            </w:tcBorders>
            <w:noWrap/>
            <w:vAlign w:val="center"/>
          </w:tcPr>
          <w:p w14:paraId="79449B3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20" w:type="pct"/>
            <w:tcBorders>
              <w:top w:val="single" w:sz="12" w:space="0" w:color="auto"/>
            </w:tcBorders>
            <w:noWrap/>
            <w:vAlign w:val="center"/>
          </w:tcPr>
          <w:p w14:paraId="58038E3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37 (74)</w:t>
            </w:r>
          </w:p>
        </w:tc>
      </w:tr>
      <w:tr w:rsidR="0042572C" w:rsidRPr="0011555A" w14:paraId="557EAD94" w14:textId="77777777" w:rsidTr="00DE6595">
        <w:trPr>
          <w:gridAfter w:val="1"/>
          <w:wAfter w:w="15" w:type="pct"/>
          <w:trHeight w:val="310"/>
        </w:trPr>
        <w:tc>
          <w:tcPr>
            <w:tcW w:w="2523" w:type="pct"/>
            <w:noWrap/>
            <w:vAlign w:val="center"/>
            <w:hideMark/>
          </w:tcPr>
          <w:p w14:paraId="58C7C41D"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Time to 1</w:t>
            </w:r>
            <w:r w:rsidRPr="0011555A">
              <w:rPr>
                <w:rFonts w:asciiTheme="majorBidi" w:eastAsia="Times New Roman" w:hAnsiTheme="majorBidi" w:cstheme="majorBidi"/>
                <w:b/>
                <w:bCs/>
                <w:color w:val="000000"/>
                <w:sz w:val="24"/>
                <w:szCs w:val="24"/>
                <w:vertAlign w:val="superscript"/>
              </w:rPr>
              <w:t>st</w:t>
            </w:r>
            <w:r w:rsidRPr="0011555A">
              <w:rPr>
                <w:rFonts w:asciiTheme="majorBidi" w:eastAsia="Times New Roman" w:hAnsiTheme="majorBidi" w:cstheme="majorBidi"/>
                <w:b/>
                <w:bCs/>
                <w:color w:val="000000"/>
                <w:sz w:val="24"/>
                <w:szCs w:val="24"/>
              </w:rPr>
              <w:t xml:space="preserve"> analgesia (h)</w:t>
            </w:r>
          </w:p>
        </w:tc>
        <w:tc>
          <w:tcPr>
            <w:tcW w:w="1542" w:type="pct"/>
            <w:noWrap/>
            <w:vAlign w:val="center"/>
            <w:hideMark/>
          </w:tcPr>
          <w:p w14:paraId="02BB8240"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Median (range)</w:t>
            </w:r>
          </w:p>
        </w:tc>
        <w:tc>
          <w:tcPr>
            <w:tcW w:w="920" w:type="pct"/>
            <w:noWrap/>
            <w:vAlign w:val="center"/>
            <w:hideMark/>
          </w:tcPr>
          <w:p w14:paraId="6E80926F"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2.2 (0.5 - 5.5)</w:t>
            </w:r>
          </w:p>
        </w:tc>
      </w:tr>
      <w:tr w:rsidR="0042572C" w:rsidRPr="0011555A" w14:paraId="31DF2F12" w14:textId="77777777" w:rsidTr="00DE6595">
        <w:trPr>
          <w:gridAfter w:val="1"/>
          <w:wAfter w:w="15" w:type="pct"/>
          <w:trHeight w:val="310"/>
        </w:trPr>
        <w:tc>
          <w:tcPr>
            <w:tcW w:w="2523" w:type="pct"/>
            <w:noWrap/>
            <w:vAlign w:val="center"/>
            <w:hideMark/>
          </w:tcPr>
          <w:p w14:paraId="77D5DDE7"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24h-morphine consumption (mg/kg)</w:t>
            </w:r>
          </w:p>
        </w:tc>
        <w:tc>
          <w:tcPr>
            <w:tcW w:w="1542" w:type="pct"/>
            <w:noWrap/>
            <w:vAlign w:val="center"/>
            <w:hideMark/>
          </w:tcPr>
          <w:p w14:paraId="62AEF0A2"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Median (range)</w:t>
            </w:r>
          </w:p>
        </w:tc>
        <w:tc>
          <w:tcPr>
            <w:tcW w:w="920" w:type="pct"/>
            <w:noWrap/>
            <w:vAlign w:val="center"/>
            <w:hideMark/>
          </w:tcPr>
          <w:p w14:paraId="6C5271A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5.7 (0 - 14.9)</w:t>
            </w:r>
          </w:p>
        </w:tc>
      </w:tr>
      <w:tr w:rsidR="0042572C" w:rsidRPr="0011555A" w14:paraId="587C441B" w14:textId="77777777" w:rsidTr="00DE6595">
        <w:trPr>
          <w:gridAfter w:val="1"/>
          <w:wAfter w:w="15" w:type="pct"/>
          <w:trHeight w:val="310"/>
        </w:trPr>
        <w:tc>
          <w:tcPr>
            <w:tcW w:w="2523" w:type="pct"/>
            <w:noWrap/>
            <w:vAlign w:val="center"/>
            <w:hideMark/>
          </w:tcPr>
          <w:p w14:paraId="5A1D94E3"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Complications</w:t>
            </w:r>
          </w:p>
        </w:tc>
        <w:tc>
          <w:tcPr>
            <w:tcW w:w="1542" w:type="pct"/>
            <w:noWrap/>
            <w:vAlign w:val="center"/>
            <w:hideMark/>
          </w:tcPr>
          <w:p w14:paraId="3BE5B00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920" w:type="pct"/>
            <w:noWrap/>
            <w:vAlign w:val="center"/>
            <w:hideMark/>
          </w:tcPr>
          <w:p w14:paraId="759E645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r>
      <w:tr w:rsidR="0042572C" w:rsidRPr="0011555A" w14:paraId="0F7A9E22" w14:textId="77777777" w:rsidTr="00DE6595">
        <w:trPr>
          <w:gridAfter w:val="1"/>
          <w:wAfter w:w="15" w:type="pct"/>
          <w:trHeight w:val="310"/>
        </w:trPr>
        <w:tc>
          <w:tcPr>
            <w:tcW w:w="2523" w:type="pct"/>
            <w:noWrap/>
            <w:vAlign w:val="center"/>
            <w:hideMark/>
          </w:tcPr>
          <w:p w14:paraId="324DAC3B"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Nausea</w:t>
            </w:r>
          </w:p>
        </w:tc>
        <w:tc>
          <w:tcPr>
            <w:tcW w:w="1542" w:type="pct"/>
            <w:noWrap/>
            <w:vAlign w:val="center"/>
            <w:hideMark/>
          </w:tcPr>
          <w:p w14:paraId="68D526E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20" w:type="pct"/>
            <w:noWrap/>
            <w:vAlign w:val="center"/>
            <w:hideMark/>
          </w:tcPr>
          <w:p w14:paraId="5442531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 (6)</w:t>
            </w:r>
          </w:p>
        </w:tc>
      </w:tr>
      <w:tr w:rsidR="0042572C" w:rsidRPr="0011555A" w14:paraId="0CED46B3" w14:textId="77777777" w:rsidTr="00DE6595">
        <w:trPr>
          <w:gridAfter w:val="1"/>
          <w:wAfter w:w="15" w:type="pct"/>
          <w:trHeight w:val="310"/>
        </w:trPr>
        <w:tc>
          <w:tcPr>
            <w:tcW w:w="2523" w:type="pct"/>
            <w:noWrap/>
            <w:vAlign w:val="center"/>
            <w:hideMark/>
          </w:tcPr>
          <w:p w14:paraId="6E112CBB"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Vomiting</w:t>
            </w:r>
          </w:p>
        </w:tc>
        <w:tc>
          <w:tcPr>
            <w:tcW w:w="1542" w:type="pct"/>
            <w:noWrap/>
            <w:vAlign w:val="center"/>
            <w:hideMark/>
          </w:tcPr>
          <w:p w14:paraId="23EDEC7C"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20" w:type="pct"/>
            <w:noWrap/>
            <w:vAlign w:val="center"/>
            <w:hideMark/>
          </w:tcPr>
          <w:p w14:paraId="79960FE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 (8)</w:t>
            </w:r>
          </w:p>
        </w:tc>
      </w:tr>
      <w:tr w:rsidR="0042572C" w:rsidRPr="0011555A" w14:paraId="34F4E73F" w14:textId="77777777" w:rsidTr="00DE6595">
        <w:trPr>
          <w:gridAfter w:val="1"/>
          <w:wAfter w:w="15" w:type="pct"/>
          <w:trHeight w:val="310"/>
        </w:trPr>
        <w:tc>
          <w:tcPr>
            <w:tcW w:w="2523" w:type="pct"/>
            <w:tcBorders>
              <w:bottom w:val="nil"/>
            </w:tcBorders>
            <w:noWrap/>
            <w:vAlign w:val="center"/>
            <w:hideMark/>
          </w:tcPr>
          <w:p w14:paraId="05BDE79F"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Pruritis</w:t>
            </w:r>
          </w:p>
        </w:tc>
        <w:tc>
          <w:tcPr>
            <w:tcW w:w="1542" w:type="pct"/>
            <w:tcBorders>
              <w:bottom w:val="nil"/>
            </w:tcBorders>
            <w:noWrap/>
            <w:vAlign w:val="center"/>
            <w:hideMark/>
          </w:tcPr>
          <w:p w14:paraId="616B60C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20" w:type="pct"/>
            <w:tcBorders>
              <w:bottom w:val="nil"/>
            </w:tcBorders>
            <w:noWrap/>
            <w:vAlign w:val="center"/>
            <w:hideMark/>
          </w:tcPr>
          <w:p w14:paraId="6F6C9DF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 (0)</w:t>
            </w:r>
          </w:p>
        </w:tc>
      </w:tr>
      <w:tr w:rsidR="0042572C" w:rsidRPr="0011555A" w14:paraId="6BF0DC49" w14:textId="77777777" w:rsidTr="00DE6595">
        <w:trPr>
          <w:gridAfter w:val="1"/>
          <w:wAfter w:w="15" w:type="pct"/>
          <w:trHeight w:val="310"/>
        </w:trPr>
        <w:tc>
          <w:tcPr>
            <w:tcW w:w="2523" w:type="pct"/>
            <w:tcBorders>
              <w:top w:val="nil"/>
              <w:bottom w:val="nil"/>
            </w:tcBorders>
            <w:noWrap/>
            <w:vAlign w:val="center"/>
            <w:hideMark/>
          </w:tcPr>
          <w:p w14:paraId="32581F8C"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Hospital length of stay (h)</w:t>
            </w:r>
          </w:p>
        </w:tc>
        <w:tc>
          <w:tcPr>
            <w:tcW w:w="1542" w:type="pct"/>
            <w:tcBorders>
              <w:top w:val="nil"/>
              <w:bottom w:val="nil"/>
            </w:tcBorders>
            <w:noWrap/>
            <w:vAlign w:val="center"/>
            <w:hideMark/>
          </w:tcPr>
          <w:p w14:paraId="79BF188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Mean ±SD</w:t>
            </w:r>
          </w:p>
        </w:tc>
        <w:tc>
          <w:tcPr>
            <w:tcW w:w="920" w:type="pct"/>
            <w:tcBorders>
              <w:top w:val="nil"/>
              <w:bottom w:val="nil"/>
            </w:tcBorders>
            <w:noWrap/>
            <w:vAlign w:val="center"/>
            <w:hideMark/>
          </w:tcPr>
          <w:p w14:paraId="331C9E4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5 ±1</w:t>
            </w:r>
          </w:p>
        </w:tc>
      </w:tr>
      <w:tr w:rsidR="0042572C" w:rsidRPr="0011555A" w14:paraId="1741E1CC" w14:textId="77777777" w:rsidTr="00DE6595">
        <w:trPr>
          <w:trHeight w:val="310"/>
        </w:trPr>
        <w:tc>
          <w:tcPr>
            <w:tcW w:w="2523" w:type="pct"/>
            <w:tcBorders>
              <w:top w:val="nil"/>
              <w:bottom w:val="nil"/>
            </w:tcBorders>
            <w:noWrap/>
            <w:vAlign w:val="bottom"/>
          </w:tcPr>
          <w:p w14:paraId="123FDC33"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Patients Satisfaction</w:t>
            </w:r>
          </w:p>
        </w:tc>
        <w:tc>
          <w:tcPr>
            <w:tcW w:w="1542" w:type="pct"/>
            <w:tcBorders>
              <w:top w:val="nil"/>
              <w:bottom w:val="nil"/>
            </w:tcBorders>
            <w:vAlign w:val="center"/>
          </w:tcPr>
          <w:p w14:paraId="36EF57C9"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c>
          <w:tcPr>
            <w:tcW w:w="935" w:type="pct"/>
            <w:gridSpan w:val="2"/>
            <w:tcBorders>
              <w:top w:val="nil"/>
              <w:bottom w:val="nil"/>
            </w:tcBorders>
            <w:noWrap/>
            <w:vAlign w:val="center"/>
          </w:tcPr>
          <w:p w14:paraId="170789E5"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7E5CA51E" w14:textId="77777777" w:rsidTr="00DE6595">
        <w:trPr>
          <w:trHeight w:val="310"/>
        </w:trPr>
        <w:tc>
          <w:tcPr>
            <w:tcW w:w="2523" w:type="pct"/>
            <w:tcBorders>
              <w:top w:val="nil"/>
            </w:tcBorders>
            <w:noWrap/>
            <w:vAlign w:val="bottom"/>
            <w:hideMark/>
          </w:tcPr>
          <w:p w14:paraId="55800D26"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Very satisfied</w:t>
            </w:r>
          </w:p>
        </w:tc>
        <w:tc>
          <w:tcPr>
            <w:tcW w:w="1542" w:type="pct"/>
            <w:tcBorders>
              <w:top w:val="nil"/>
            </w:tcBorders>
            <w:vAlign w:val="center"/>
          </w:tcPr>
          <w:p w14:paraId="2C8553EE"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tcBorders>
              <w:top w:val="nil"/>
            </w:tcBorders>
            <w:noWrap/>
            <w:vAlign w:val="center"/>
            <w:hideMark/>
          </w:tcPr>
          <w:p w14:paraId="11F1A53C"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8 (16)</w:t>
            </w:r>
          </w:p>
        </w:tc>
      </w:tr>
      <w:tr w:rsidR="0042572C" w:rsidRPr="0011555A" w14:paraId="06DEEBDF" w14:textId="77777777" w:rsidTr="00DE6595">
        <w:trPr>
          <w:trHeight w:val="310"/>
        </w:trPr>
        <w:tc>
          <w:tcPr>
            <w:tcW w:w="2523" w:type="pct"/>
            <w:noWrap/>
            <w:vAlign w:val="bottom"/>
            <w:hideMark/>
          </w:tcPr>
          <w:p w14:paraId="43376430"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Satisfied</w:t>
            </w:r>
          </w:p>
        </w:tc>
        <w:tc>
          <w:tcPr>
            <w:tcW w:w="1542" w:type="pct"/>
            <w:vAlign w:val="center"/>
          </w:tcPr>
          <w:p w14:paraId="3F0B5BAE"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hideMark/>
          </w:tcPr>
          <w:p w14:paraId="31C8FEAC"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21 (42)</w:t>
            </w:r>
          </w:p>
        </w:tc>
      </w:tr>
      <w:tr w:rsidR="0042572C" w:rsidRPr="0011555A" w14:paraId="1157FEC5" w14:textId="77777777" w:rsidTr="00DE6595">
        <w:trPr>
          <w:trHeight w:val="310"/>
        </w:trPr>
        <w:tc>
          <w:tcPr>
            <w:tcW w:w="2523" w:type="pct"/>
            <w:noWrap/>
            <w:vAlign w:val="bottom"/>
            <w:hideMark/>
          </w:tcPr>
          <w:p w14:paraId="310B8641"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Neutral</w:t>
            </w:r>
          </w:p>
        </w:tc>
        <w:tc>
          <w:tcPr>
            <w:tcW w:w="1542" w:type="pct"/>
            <w:vAlign w:val="center"/>
          </w:tcPr>
          <w:p w14:paraId="222A46F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hideMark/>
          </w:tcPr>
          <w:p w14:paraId="4AF0C23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11 (22)</w:t>
            </w:r>
          </w:p>
        </w:tc>
      </w:tr>
      <w:tr w:rsidR="0042572C" w:rsidRPr="0011555A" w14:paraId="7D47F388" w14:textId="77777777" w:rsidTr="00DE6595">
        <w:trPr>
          <w:trHeight w:val="310"/>
        </w:trPr>
        <w:tc>
          <w:tcPr>
            <w:tcW w:w="2523" w:type="pct"/>
            <w:noWrap/>
            <w:vAlign w:val="bottom"/>
            <w:hideMark/>
          </w:tcPr>
          <w:p w14:paraId="77D57AEB"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Dissatisfied</w:t>
            </w:r>
          </w:p>
        </w:tc>
        <w:tc>
          <w:tcPr>
            <w:tcW w:w="1542" w:type="pct"/>
            <w:vAlign w:val="center"/>
          </w:tcPr>
          <w:p w14:paraId="53D981C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hideMark/>
          </w:tcPr>
          <w:p w14:paraId="5A54AB9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5 (10)</w:t>
            </w:r>
          </w:p>
        </w:tc>
      </w:tr>
      <w:tr w:rsidR="0042572C" w:rsidRPr="0011555A" w14:paraId="6F768455" w14:textId="77777777" w:rsidTr="00DE6595">
        <w:trPr>
          <w:trHeight w:val="310"/>
        </w:trPr>
        <w:tc>
          <w:tcPr>
            <w:tcW w:w="2523" w:type="pct"/>
            <w:noWrap/>
            <w:vAlign w:val="bottom"/>
            <w:hideMark/>
          </w:tcPr>
          <w:p w14:paraId="4C569846"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Very dissatisfied</w:t>
            </w:r>
          </w:p>
        </w:tc>
        <w:tc>
          <w:tcPr>
            <w:tcW w:w="1542" w:type="pct"/>
            <w:vAlign w:val="center"/>
          </w:tcPr>
          <w:p w14:paraId="311C969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hideMark/>
          </w:tcPr>
          <w:p w14:paraId="30CACF1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5 (10)</w:t>
            </w:r>
          </w:p>
        </w:tc>
      </w:tr>
      <w:tr w:rsidR="0042572C" w:rsidRPr="0011555A" w14:paraId="115C78E8" w14:textId="77777777" w:rsidTr="00DE6595">
        <w:trPr>
          <w:trHeight w:val="310"/>
        </w:trPr>
        <w:tc>
          <w:tcPr>
            <w:tcW w:w="2523" w:type="pct"/>
            <w:noWrap/>
            <w:vAlign w:val="bottom"/>
          </w:tcPr>
          <w:p w14:paraId="30BFA3D2"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Surgeons Satisfaction</w:t>
            </w:r>
          </w:p>
        </w:tc>
        <w:tc>
          <w:tcPr>
            <w:tcW w:w="1542" w:type="pct"/>
            <w:vAlign w:val="center"/>
          </w:tcPr>
          <w:p w14:paraId="42FC7B5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935" w:type="pct"/>
            <w:gridSpan w:val="2"/>
            <w:noWrap/>
            <w:vAlign w:val="center"/>
          </w:tcPr>
          <w:p w14:paraId="6B14A07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r>
      <w:tr w:rsidR="0042572C" w:rsidRPr="0011555A" w14:paraId="7C6E7053" w14:textId="77777777" w:rsidTr="00DE6595">
        <w:trPr>
          <w:trHeight w:val="310"/>
        </w:trPr>
        <w:tc>
          <w:tcPr>
            <w:tcW w:w="2523" w:type="pct"/>
            <w:noWrap/>
            <w:vAlign w:val="bottom"/>
          </w:tcPr>
          <w:p w14:paraId="23970C03"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color w:val="000000"/>
                <w:sz w:val="24"/>
                <w:szCs w:val="24"/>
              </w:rPr>
              <w:t>Very satisfied</w:t>
            </w:r>
          </w:p>
        </w:tc>
        <w:tc>
          <w:tcPr>
            <w:tcW w:w="1542" w:type="pct"/>
            <w:vAlign w:val="center"/>
          </w:tcPr>
          <w:p w14:paraId="74B49D9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tcPr>
          <w:p w14:paraId="500F77A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18 (36)</w:t>
            </w:r>
          </w:p>
        </w:tc>
      </w:tr>
      <w:tr w:rsidR="0042572C" w:rsidRPr="0011555A" w14:paraId="104F3B52" w14:textId="77777777" w:rsidTr="00DE6595">
        <w:trPr>
          <w:trHeight w:val="310"/>
        </w:trPr>
        <w:tc>
          <w:tcPr>
            <w:tcW w:w="2523" w:type="pct"/>
            <w:noWrap/>
            <w:vAlign w:val="bottom"/>
          </w:tcPr>
          <w:p w14:paraId="33D8098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color w:val="000000"/>
                <w:sz w:val="24"/>
                <w:szCs w:val="24"/>
              </w:rPr>
              <w:t>Satisfied</w:t>
            </w:r>
          </w:p>
        </w:tc>
        <w:tc>
          <w:tcPr>
            <w:tcW w:w="1542" w:type="pct"/>
            <w:vAlign w:val="center"/>
          </w:tcPr>
          <w:p w14:paraId="01F15C5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tcPr>
          <w:p w14:paraId="236FBA6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16 (32)</w:t>
            </w:r>
          </w:p>
        </w:tc>
      </w:tr>
      <w:tr w:rsidR="0042572C" w:rsidRPr="0011555A" w14:paraId="0A2792F6" w14:textId="77777777" w:rsidTr="00DE6595">
        <w:trPr>
          <w:trHeight w:val="310"/>
        </w:trPr>
        <w:tc>
          <w:tcPr>
            <w:tcW w:w="2523" w:type="pct"/>
            <w:noWrap/>
            <w:vAlign w:val="bottom"/>
          </w:tcPr>
          <w:p w14:paraId="4AA375DB"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color w:val="000000"/>
                <w:sz w:val="24"/>
                <w:szCs w:val="24"/>
              </w:rPr>
              <w:t>Neutral</w:t>
            </w:r>
          </w:p>
        </w:tc>
        <w:tc>
          <w:tcPr>
            <w:tcW w:w="1542" w:type="pct"/>
            <w:vAlign w:val="center"/>
          </w:tcPr>
          <w:p w14:paraId="7BED2DD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tcPr>
          <w:p w14:paraId="5503B44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11 (22)</w:t>
            </w:r>
          </w:p>
        </w:tc>
      </w:tr>
      <w:tr w:rsidR="0042572C" w:rsidRPr="0011555A" w14:paraId="7C3858A8" w14:textId="77777777" w:rsidTr="00DE6595">
        <w:trPr>
          <w:trHeight w:val="310"/>
        </w:trPr>
        <w:tc>
          <w:tcPr>
            <w:tcW w:w="2523" w:type="pct"/>
            <w:noWrap/>
            <w:vAlign w:val="bottom"/>
          </w:tcPr>
          <w:p w14:paraId="2B3D9D5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color w:val="000000"/>
                <w:sz w:val="24"/>
                <w:szCs w:val="24"/>
              </w:rPr>
              <w:t>Dissatisfied</w:t>
            </w:r>
          </w:p>
        </w:tc>
        <w:tc>
          <w:tcPr>
            <w:tcW w:w="1542" w:type="pct"/>
            <w:vAlign w:val="center"/>
          </w:tcPr>
          <w:p w14:paraId="75C8FDDF"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tcPr>
          <w:p w14:paraId="3AC03EDC"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 (8)</w:t>
            </w:r>
          </w:p>
        </w:tc>
      </w:tr>
      <w:tr w:rsidR="0042572C" w:rsidRPr="0011555A" w14:paraId="039A5643" w14:textId="77777777" w:rsidTr="00DE6595">
        <w:trPr>
          <w:trHeight w:val="310"/>
        </w:trPr>
        <w:tc>
          <w:tcPr>
            <w:tcW w:w="2523" w:type="pct"/>
            <w:noWrap/>
            <w:vAlign w:val="bottom"/>
          </w:tcPr>
          <w:p w14:paraId="18AE23F6"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color w:val="000000"/>
                <w:sz w:val="24"/>
                <w:szCs w:val="24"/>
              </w:rPr>
              <w:t>Very dissatisfied</w:t>
            </w:r>
          </w:p>
        </w:tc>
        <w:tc>
          <w:tcPr>
            <w:tcW w:w="1542" w:type="pct"/>
            <w:vAlign w:val="center"/>
          </w:tcPr>
          <w:p w14:paraId="6BA662D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935" w:type="pct"/>
            <w:gridSpan w:val="2"/>
            <w:noWrap/>
            <w:vAlign w:val="center"/>
          </w:tcPr>
          <w:p w14:paraId="6929CC9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 (2)</w:t>
            </w:r>
          </w:p>
        </w:tc>
      </w:tr>
    </w:tbl>
    <w:p w14:paraId="52EBEB8E" w14:textId="77777777" w:rsidR="0042572C" w:rsidRPr="0011555A" w:rsidRDefault="0042572C" w:rsidP="0042572C">
      <w:pPr>
        <w:pStyle w:val="F-note"/>
        <w:rPr>
          <w:rFonts w:eastAsia="Aptos"/>
        </w:rPr>
      </w:pPr>
      <w:r w:rsidRPr="0011555A">
        <w:rPr>
          <w:rFonts w:eastAsia="Aptos"/>
        </w:rPr>
        <w:t>n: number, SD: Standard Deviation, h: hours, mg: milligrams, kg: kilograms.</w:t>
      </w:r>
    </w:p>
    <w:p w14:paraId="3FB88EA9" w14:textId="77777777" w:rsidR="0042572C" w:rsidRPr="0011555A" w:rsidRDefault="0042572C" w:rsidP="0042572C">
      <w:pPr>
        <w:spacing w:line="278" w:lineRule="auto"/>
        <w:rPr>
          <w:rFonts w:asciiTheme="majorBidi" w:eastAsia="Aptos" w:hAnsiTheme="majorBidi" w:cstheme="majorBidi"/>
          <w:b/>
          <w:bCs/>
          <w:kern w:val="2"/>
          <w:sz w:val="24"/>
          <w:szCs w:val="24"/>
          <w14:ligatures w14:val="standardContextual"/>
        </w:rPr>
      </w:pPr>
      <w:r w:rsidRPr="0011555A">
        <w:rPr>
          <w:rFonts w:asciiTheme="majorBidi" w:eastAsia="Aptos" w:hAnsiTheme="majorBidi" w:cstheme="majorBidi"/>
          <w:b/>
          <w:bCs/>
          <w:kern w:val="2"/>
          <w:sz w:val="24"/>
          <w:szCs w:val="24"/>
          <w14:ligatures w14:val="standardContextual"/>
        </w:rPr>
        <w:br w:type="page"/>
      </w:r>
    </w:p>
    <w:p w14:paraId="2645CEB3" w14:textId="77777777" w:rsidR="0042572C" w:rsidRPr="0011555A" w:rsidRDefault="0042572C" w:rsidP="0042572C">
      <w:pPr>
        <w:pStyle w:val="Caption"/>
        <w:rPr>
          <w:rFonts w:eastAsia="Aptos"/>
        </w:rPr>
      </w:pPr>
      <w:r w:rsidRPr="0011555A">
        <w:rPr>
          <w:rFonts w:eastAsia="Aptos"/>
        </w:rPr>
        <w:lastRenderedPageBreak/>
        <w:t>Table 3: General and procedure characteristics of the studied groups.</w:t>
      </w:r>
    </w:p>
    <w:tbl>
      <w:tblPr>
        <w:tblW w:w="9473" w:type="dxa"/>
        <w:tblBorders>
          <w:top w:val="single" w:sz="12" w:space="0" w:color="auto"/>
          <w:bottom w:val="single" w:sz="12" w:space="0" w:color="auto"/>
        </w:tblBorders>
        <w:tblLook w:val="04A0" w:firstRow="1" w:lastRow="0" w:firstColumn="1" w:lastColumn="0" w:noHBand="0" w:noVBand="1"/>
      </w:tblPr>
      <w:tblGrid>
        <w:gridCol w:w="3119"/>
        <w:gridCol w:w="1843"/>
        <w:gridCol w:w="2084"/>
        <w:gridCol w:w="1414"/>
        <w:gridCol w:w="1013"/>
      </w:tblGrid>
      <w:tr w:rsidR="0042572C" w:rsidRPr="0011555A" w14:paraId="3B37C03D" w14:textId="77777777" w:rsidTr="00DE6595">
        <w:trPr>
          <w:trHeight w:val="310"/>
        </w:trPr>
        <w:tc>
          <w:tcPr>
            <w:tcW w:w="3119" w:type="dxa"/>
            <w:noWrap/>
            <w:vAlign w:val="bottom"/>
            <w:hideMark/>
          </w:tcPr>
          <w:p w14:paraId="5F1772AE" w14:textId="77777777" w:rsidR="0042572C" w:rsidRPr="0011555A" w:rsidRDefault="0042572C" w:rsidP="00DE6595">
            <w:pPr>
              <w:spacing w:after="0" w:line="240" w:lineRule="auto"/>
              <w:rPr>
                <w:rFonts w:asciiTheme="majorBidi" w:eastAsia="Times New Roman" w:hAnsiTheme="majorBidi" w:cstheme="majorBidi"/>
                <w:sz w:val="24"/>
                <w:szCs w:val="24"/>
              </w:rPr>
            </w:pPr>
          </w:p>
        </w:tc>
        <w:tc>
          <w:tcPr>
            <w:tcW w:w="1843" w:type="dxa"/>
            <w:noWrap/>
            <w:vAlign w:val="center"/>
            <w:hideMark/>
          </w:tcPr>
          <w:p w14:paraId="21976C42" w14:textId="77777777" w:rsidR="0042572C" w:rsidRPr="0011555A" w:rsidRDefault="0042572C" w:rsidP="00DE6595">
            <w:pPr>
              <w:spacing w:after="0" w:line="240" w:lineRule="auto"/>
              <w:jc w:val="center"/>
              <w:rPr>
                <w:rFonts w:asciiTheme="majorBidi" w:eastAsia="Times New Roman" w:hAnsiTheme="majorBidi" w:cstheme="majorBidi"/>
                <w:sz w:val="24"/>
                <w:szCs w:val="24"/>
              </w:rPr>
            </w:pPr>
          </w:p>
        </w:tc>
        <w:tc>
          <w:tcPr>
            <w:tcW w:w="3498" w:type="dxa"/>
            <w:gridSpan w:val="2"/>
            <w:tcBorders>
              <w:top w:val="single" w:sz="12" w:space="0" w:color="auto"/>
              <w:bottom w:val="single" w:sz="12" w:space="0" w:color="auto"/>
            </w:tcBorders>
            <w:noWrap/>
            <w:vAlign w:val="center"/>
            <w:hideMark/>
          </w:tcPr>
          <w:p w14:paraId="4920DACC"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Open procedure</w:t>
            </w:r>
          </w:p>
        </w:tc>
        <w:tc>
          <w:tcPr>
            <w:tcW w:w="1013" w:type="dxa"/>
            <w:noWrap/>
            <w:vAlign w:val="center"/>
            <w:hideMark/>
          </w:tcPr>
          <w:p w14:paraId="0C768E24"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00FD9892" w14:textId="77777777" w:rsidTr="00DE6595">
        <w:trPr>
          <w:trHeight w:val="310"/>
        </w:trPr>
        <w:tc>
          <w:tcPr>
            <w:tcW w:w="3119" w:type="dxa"/>
            <w:tcBorders>
              <w:bottom w:val="single" w:sz="12" w:space="0" w:color="auto"/>
            </w:tcBorders>
            <w:noWrap/>
            <w:vAlign w:val="bottom"/>
            <w:hideMark/>
          </w:tcPr>
          <w:p w14:paraId="64D6B0BC" w14:textId="77777777" w:rsidR="0042572C" w:rsidRPr="0011555A" w:rsidRDefault="0042572C" w:rsidP="00DE6595">
            <w:pPr>
              <w:spacing w:after="0" w:line="240" w:lineRule="auto"/>
              <w:jc w:val="center"/>
              <w:rPr>
                <w:rFonts w:asciiTheme="majorBidi" w:eastAsia="Times New Roman" w:hAnsiTheme="majorBidi" w:cstheme="majorBidi"/>
                <w:sz w:val="24"/>
                <w:szCs w:val="24"/>
              </w:rPr>
            </w:pPr>
          </w:p>
        </w:tc>
        <w:tc>
          <w:tcPr>
            <w:tcW w:w="1843" w:type="dxa"/>
            <w:tcBorders>
              <w:bottom w:val="single" w:sz="12" w:space="0" w:color="auto"/>
            </w:tcBorders>
            <w:noWrap/>
            <w:vAlign w:val="center"/>
            <w:hideMark/>
          </w:tcPr>
          <w:p w14:paraId="1B470E91" w14:textId="77777777" w:rsidR="0042572C" w:rsidRPr="0011555A" w:rsidRDefault="0042572C" w:rsidP="00DE6595">
            <w:pPr>
              <w:spacing w:after="0" w:line="240" w:lineRule="auto"/>
              <w:jc w:val="center"/>
              <w:rPr>
                <w:rFonts w:asciiTheme="majorBidi" w:eastAsia="Times New Roman" w:hAnsiTheme="majorBidi" w:cstheme="majorBidi"/>
                <w:sz w:val="24"/>
                <w:szCs w:val="24"/>
              </w:rPr>
            </w:pPr>
          </w:p>
        </w:tc>
        <w:tc>
          <w:tcPr>
            <w:tcW w:w="2084" w:type="dxa"/>
            <w:tcBorders>
              <w:top w:val="single" w:sz="12" w:space="0" w:color="auto"/>
              <w:bottom w:val="single" w:sz="12" w:space="0" w:color="auto"/>
            </w:tcBorders>
            <w:noWrap/>
            <w:vAlign w:val="center"/>
            <w:hideMark/>
          </w:tcPr>
          <w:p w14:paraId="1006843B"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Yes (n = 28)</w:t>
            </w:r>
          </w:p>
        </w:tc>
        <w:tc>
          <w:tcPr>
            <w:tcW w:w="1414" w:type="dxa"/>
            <w:tcBorders>
              <w:top w:val="single" w:sz="12" w:space="0" w:color="auto"/>
              <w:bottom w:val="single" w:sz="12" w:space="0" w:color="auto"/>
            </w:tcBorders>
            <w:noWrap/>
            <w:vAlign w:val="center"/>
            <w:hideMark/>
          </w:tcPr>
          <w:p w14:paraId="650B7DB5"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No (n = 22)</w:t>
            </w:r>
          </w:p>
        </w:tc>
        <w:tc>
          <w:tcPr>
            <w:tcW w:w="1013" w:type="dxa"/>
            <w:tcBorders>
              <w:bottom w:val="single" w:sz="12" w:space="0" w:color="auto"/>
            </w:tcBorders>
            <w:noWrap/>
            <w:vAlign w:val="center"/>
            <w:hideMark/>
          </w:tcPr>
          <w:p w14:paraId="04E28464"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P-value</w:t>
            </w:r>
          </w:p>
        </w:tc>
      </w:tr>
      <w:tr w:rsidR="0042572C" w:rsidRPr="0011555A" w14:paraId="6EF21C43" w14:textId="77777777" w:rsidTr="00DE6595">
        <w:trPr>
          <w:trHeight w:val="310"/>
        </w:trPr>
        <w:tc>
          <w:tcPr>
            <w:tcW w:w="3119" w:type="dxa"/>
            <w:tcBorders>
              <w:top w:val="single" w:sz="12" w:space="0" w:color="auto"/>
            </w:tcBorders>
            <w:noWrap/>
            <w:vAlign w:val="bottom"/>
            <w:hideMark/>
          </w:tcPr>
          <w:p w14:paraId="1BD2BAE9"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Age (years)</w:t>
            </w:r>
          </w:p>
        </w:tc>
        <w:tc>
          <w:tcPr>
            <w:tcW w:w="1843" w:type="dxa"/>
            <w:tcBorders>
              <w:top w:val="single" w:sz="12" w:space="0" w:color="auto"/>
            </w:tcBorders>
            <w:noWrap/>
            <w:vAlign w:val="center"/>
            <w:hideMark/>
          </w:tcPr>
          <w:p w14:paraId="7E593404"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Median (range)</w:t>
            </w:r>
          </w:p>
        </w:tc>
        <w:tc>
          <w:tcPr>
            <w:tcW w:w="2084" w:type="dxa"/>
            <w:tcBorders>
              <w:top w:val="single" w:sz="12" w:space="0" w:color="auto"/>
            </w:tcBorders>
            <w:noWrap/>
            <w:vAlign w:val="center"/>
            <w:hideMark/>
          </w:tcPr>
          <w:p w14:paraId="3F2D6BB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44 (18 - 66)</w:t>
            </w:r>
          </w:p>
        </w:tc>
        <w:tc>
          <w:tcPr>
            <w:tcW w:w="1414" w:type="dxa"/>
            <w:tcBorders>
              <w:top w:val="single" w:sz="12" w:space="0" w:color="auto"/>
            </w:tcBorders>
            <w:noWrap/>
            <w:vAlign w:val="center"/>
            <w:hideMark/>
          </w:tcPr>
          <w:p w14:paraId="4C89F6B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32 (19 - 62)</w:t>
            </w:r>
          </w:p>
        </w:tc>
        <w:tc>
          <w:tcPr>
            <w:tcW w:w="1013" w:type="dxa"/>
            <w:tcBorders>
              <w:top w:val="single" w:sz="12" w:space="0" w:color="auto"/>
            </w:tcBorders>
            <w:noWrap/>
            <w:vAlign w:val="center"/>
            <w:hideMark/>
          </w:tcPr>
          <w:p w14:paraId="63CA9CE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0.273</w:t>
            </w:r>
          </w:p>
        </w:tc>
      </w:tr>
      <w:tr w:rsidR="0042572C" w:rsidRPr="0011555A" w14:paraId="6379A56D" w14:textId="77777777" w:rsidTr="00DE6595">
        <w:trPr>
          <w:trHeight w:val="310"/>
        </w:trPr>
        <w:tc>
          <w:tcPr>
            <w:tcW w:w="3119" w:type="dxa"/>
            <w:noWrap/>
            <w:vAlign w:val="bottom"/>
            <w:hideMark/>
          </w:tcPr>
          <w:p w14:paraId="59332814"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Sex</w:t>
            </w:r>
          </w:p>
        </w:tc>
        <w:tc>
          <w:tcPr>
            <w:tcW w:w="1843" w:type="dxa"/>
            <w:noWrap/>
            <w:vAlign w:val="bottom"/>
            <w:hideMark/>
          </w:tcPr>
          <w:p w14:paraId="1A957D48"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p>
        </w:tc>
        <w:tc>
          <w:tcPr>
            <w:tcW w:w="2084" w:type="dxa"/>
            <w:noWrap/>
            <w:vAlign w:val="bottom"/>
            <w:hideMark/>
          </w:tcPr>
          <w:p w14:paraId="73F3E9DA" w14:textId="77777777" w:rsidR="0042572C" w:rsidRPr="0011555A" w:rsidRDefault="0042572C" w:rsidP="00DE6595">
            <w:pPr>
              <w:spacing w:after="0" w:line="240" w:lineRule="auto"/>
              <w:rPr>
                <w:rFonts w:asciiTheme="majorBidi" w:eastAsia="Times New Roman" w:hAnsiTheme="majorBidi" w:cstheme="majorBidi"/>
                <w:sz w:val="24"/>
                <w:szCs w:val="24"/>
              </w:rPr>
            </w:pPr>
          </w:p>
        </w:tc>
        <w:tc>
          <w:tcPr>
            <w:tcW w:w="1414" w:type="dxa"/>
            <w:noWrap/>
            <w:vAlign w:val="bottom"/>
            <w:hideMark/>
          </w:tcPr>
          <w:p w14:paraId="6F5F40F6" w14:textId="77777777" w:rsidR="0042572C" w:rsidRPr="0011555A" w:rsidRDefault="0042572C" w:rsidP="00DE6595">
            <w:pPr>
              <w:spacing w:after="0" w:line="240" w:lineRule="auto"/>
              <w:rPr>
                <w:rFonts w:asciiTheme="majorBidi" w:eastAsia="Times New Roman" w:hAnsiTheme="majorBidi" w:cstheme="majorBidi"/>
                <w:sz w:val="24"/>
                <w:szCs w:val="24"/>
              </w:rPr>
            </w:pPr>
          </w:p>
        </w:tc>
        <w:tc>
          <w:tcPr>
            <w:tcW w:w="1013" w:type="dxa"/>
            <w:noWrap/>
            <w:vAlign w:val="center"/>
            <w:hideMark/>
          </w:tcPr>
          <w:p w14:paraId="344C0572" w14:textId="77777777" w:rsidR="0042572C" w:rsidRPr="0011555A" w:rsidRDefault="0042572C" w:rsidP="00DE6595">
            <w:pPr>
              <w:spacing w:after="0" w:line="240" w:lineRule="auto"/>
              <w:rPr>
                <w:rFonts w:asciiTheme="majorBidi" w:eastAsia="Times New Roman" w:hAnsiTheme="majorBidi" w:cstheme="majorBidi"/>
                <w:sz w:val="24"/>
                <w:szCs w:val="24"/>
              </w:rPr>
            </w:pPr>
          </w:p>
        </w:tc>
      </w:tr>
      <w:tr w:rsidR="0042572C" w:rsidRPr="0011555A" w14:paraId="5DABE74C" w14:textId="77777777" w:rsidTr="00DE6595">
        <w:trPr>
          <w:trHeight w:val="310"/>
        </w:trPr>
        <w:tc>
          <w:tcPr>
            <w:tcW w:w="3119" w:type="dxa"/>
            <w:noWrap/>
            <w:vAlign w:val="bottom"/>
            <w:hideMark/>
          </w:tcPr>
          <w:p w14:paraId="4CCC3D95"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Males</w:t>
            </w:r>
          </w:p>
        </w:tc>
        <w:tc>
          <w:tcPr>
            <w:tcW w:w="1843" w:type="dxa"/>
            <w:noWrap/>
            <w:vAlign w:val="center"/>
            <w:hideMark/>
          </w:tcPr>
          <w:p w14:paraId="5263680D"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2084" w:type="dxa"/>
            <w:noWrap/>
            <w:vAlign w:val="center"/>
            <w:hideMark/>
          </w:tcPr>
          <w:p w14:paraId="4A9B9C4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12 (42.9)</w:t>
            </w:r>
          </w:p>
        </w:tc>
        <w:tc>
          <w:tcPr>
            <w:tcW w:w="1414" w:type="dxa"/>
            <w:noWrap/>
            <w:vAlign w:val="center"/>
            <w:hideMark/>
          </w:tcPr>
          <w:p w14:paraId="4EC73CA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11 (50)</w:t>
            </w:r>
          </w:p>
        </w:tc>
        <w:tc>
          <w:tcPr>
            <w:tcW w:w="1013" w:type="dxa"/>
            <w:vMerge w:val="restart"/>
            <w:noWrap/>
            <w:vAlign w:val="center"/>
            <w:hideMark/>
          </w:tcPr>
          <w:p w14:paraId="4C6F1CA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0.615</w:t>
            </w:r>
          </w:p>
        </w:tc>
      </w:tr>
      <w:tr w:rsidR="0042572C" w:rsidRPr="0011555A" w14:paraId="47EAA3F5" w14:textId="77777777" w:rsidTr="00DE6595">
        <w:trPr>
          <w:trHeight w:val="310"/>
        </w:trPr>
        <w:tc>
          <w:tcPr>
            <w:tcW w:w="3119" w:type="dxa"/>
            <w:noWrap/>
            <w:vAlign w:val="bottom"/>
            <w:hideMark/>
          </w:tcPr>
          <w:p w14:paraId="26D52F45"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Females</w:t>
            </w:r>
          </w:p>
        </w:tc>
        <w:tc>
          <w:tcPr>
            <w:tcW w:w="1843" w:type="dxa"/>
            <w:noWrap/>
            <w:vAlign w:val="center"/>
            <w:hideMark/>
          </w:tcPr>
          <w:p w14:paraId="5B8329AE"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2084" w:type="dxa"/>
            <w:noWrap/>
            <w:vAlign w:val="center"/>
            <w:hideMark/>
          </w:tcPr>
          <w:p w14:paraId="51E2DA3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16 (57.1)</w:t>
            </w:r>
          </w:p>
        </w:tc>
        <w:tc>
          <w:tcPr>
            <w:tcW w:w="1414" w:type="dxa"/>
            <w:noWrap/>
            <w:vAlign w:val="center"/>
            <w:hideMark/>
          </w:tcPr>
          <w:p w14:paraId="06DA604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11 (50)</w:t>
            </w:r>
          </w:p>
        </w:tc>
        <w:tc>
          <w:tcPr>
            <w:tcW w:w="1013" w:type="dxa"/>
            <w:vMerge/>
            <w:vAlign w:val="center"/>
            <w:hideMark/>
          </w:tcPr>
          <w:p w14:paraId="02AD282B"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p>
        </w:tc>
      </w:tr>
      <w:tr w:rsidR="0042572C" w:rsidRPr="0011555A" w14:paraId="035DF321" w14:textId="77777777" w:rsidTr="00DE6595">
        <w:trPr>
          <w:trHeight w:val="310"/>
        </w:trPr>
        <w:tc>
          <w:tcPr>
            <w:tcW w:w="3119" w:type="dxa"/>
            <w:noWrap/>
            <w:vAlign w:val="bottom"/>
            <w:hideMark/>
          </w:tcPr>
          <w:p w14:paraId="0FA0B98A"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ASA</w:t>
            </w:r>
          </w:p>
        </w:tc>
        <w:tc>
          <w:tcPr>
            <w:tcW w:w="1843" w:type="dxa"/>
            <w:noWrap/>
            <w:vAlign w:val="bottom"/>
            <w:hideMark/>
          </w:tcPr>
          <w:p w14:paraId="23FA8AD9"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p>
        </w:tc>
        <w:tc>
          <w:tcPr>
            <w:tcW w:w="2084" w:type="dxa"/>
            <w:noWrap/>
            <w:vAlign w:val="center"/>
            <w:hideMark/>
          </w:tcPr>
          <w:p w14:paraId="5DAD64A5" w14:textId="77777777" w:rsidR="0042572C" w:rsidRPr="0011555A" w:rsidRDefault="0042572C" w:rsidP="00DE6595">
            <w:pPr>
              <w:spacing w:after="0" w:line="240" w:lineRule="auto"/>
              <w:rPr>
                <w:rFonts w:asciiTheme="majorBidi" w:eastAsia="Times New Roman" w:hAnsiTheme="majorBidi" w:cstheme="majorBidi"/>
                <w:sz w:val="24"/>
                <w:szCs w:val="24"/>
              </w:rPr>
            </w:pPr>
          </w:p>
        </w:tc>
        <w:tc>
          <w:tcPr>
            <w:tcW w:w="1414" w:type="dxa"/>
            <w:noWrap/>
            <w:vAlign w:val="center"/>
            <w:hideMark/>
          </w:tcPr>
          <w:p w14:paraId="5FFB0886" w14:textId="77777777" w:rsidR="0042572C" w:rsidRPr="0011555A" w:rsidRDefault="0042572C" w:rsidP="00DE6595">
            <w:pPr>
              <w:spacing w:after="0" w:line="240" w:lineRule="auto"/>
              <w:jc w:val="center"/>
              <w:rPr>
                <w:rFonts w:asciiTheme="majorBidi" w:eastAsia="Times New Roman" w:hAnsiTheme="majorBidi" w:cstheme="majorBidi"/>
                <w:sz w:val="24"/>
                <w:szCs w:val="24"/>
              </w:rPr>
            </w:pPr>
          </w:p>
        </w:tc>
        <w:tc>
          <w:tcPr>
            <w:tcW w:w="1013" w:type="dxa"/>
            <w:noWrap/>
            <w:vAlign w:val="center"/>
            <w:hideMark/>
          </w:tcPr>
          <w:p w14:paraId="3C82DCD0" w14:textId="77777777" w:rsidR="0042572C" w:rsidRPr="0011555A" w:rsidRDefault="0042572C" w:rsidP="00DE6595">
            <w:pPr>
              <w:spacing w:after="0" w:line="240" w:lineRule="auto"/>
              <w:jc w:val="center"/>
              <w:rPr>
                <w:rFonts w:asciiTheme="majorBidi" w:eastAsia="Times New Roman" w:hAnsiTheme="majorBidi" w:cstheme="majorBidi"/>
                <w:sz w:val="24"/>
                <w:szCs w:val="24"/>
              </w:rPr>
            </w:pPr>
          </w:p>
        </w:tc>
      </w:tr>
      <w:tr w:rsidR="0042572C" w:rsidRPr="0011555A" w14:paraId="61838EDB" w14:textId="77777777" w:rsidTr="00DE6595">
        <w:trPr>
          <w:trHeight w:val="310"/>
        </w:trPr>
        <w:tc>
          <w:tcPr>
            <w:tcW w:w="3119" w:type="dxa"/>
            <w:noWrap/>
            <w:vAlign w:val="bottom"/>
            <w:hideMark/>
          </w:tcPr>
          <w:p w14:paraId="4644EB1E"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I</w:t>
            </w:r>
          </w:p>
        </w:tc>
        <w:tc>
          <w:tcPr>
            <w:tcW w:w="1843" w:type="dxa"/>
            <w:noWrap/>
            <w:vAlign w:val="center"/>
            <w:hideMark/>
          </w:tcPr>
          <w:p w14:paraId="5CFCA53B"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2084" w:type="dxa"/>
            <w:noWrap/>
            <w:vAlign w:val="center"/>
            <w:hideMark/>
          </w:tcPr>
          <w:p w14:paraId="635B9F4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20 (71.4)</w:t>
            </w:r>
          </w:p>
        </w:tc>
        <w:tc>
          <w:tcPr>
            <w:tcW w:w="1414" w:type="dxa"/>
            <w:noWrap/>
            <w:vAlign w:val="center"/>
            <w:hideMark/>
          </w:tcPr>
          <w:p w14:paraId="4CFA2E4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16 (72.7)</w:t>
            </w:r>
          </w:p>
        </w:tc>
        <w:tc>
          <w:tcPr>
            <w:tcW w:w="1013" w:type="dxa"/>
            <w:vMerge w:val="restart"/>
            <w:noWrap/>
            <w:vAlign w:val="center"/>
            <w:hideMark/>
          </w:tcPr>
          <w:p w14:paraId="34CE183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0.919</w:t>
            </w:r>
          </w:p>
        </w:tc>
      </w:tr>
      <w:tr w:rsidR="0042572C" w:rsidRPr="0011555A" w14:paraId="43602DD7" w14:textId="77777777" w:rsidTr="00DE6595">
        <w:trPr>
          <w:trHeight w:val="310"/>
        </w:trPr>
        <w:tc>
          <w:tcPr>
            <w:tcW w:w="3119" w:type="dxa"/>
            <w:noWrap/>
            <w:vAlign w:val="bottom"/>
            <w:hideMark/>
          </w:tcPr>
          <w:p w14:paraId="0F0C4D17"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II</w:t>
            </w:r>
          </w:p>
        </w:tc>
        <w:tc>
          <w:tcPr>
            <w:tcW w:w="1843" w:type="dxa"/>
            <w:noWrap/>
            <w:vAlign w:val="center"/>
            <w:hideMark/>
          </w:tcPr>
          <w:p w14:paraId="65F6238D"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2084" w:type="dxa"/>
            <w:noWrap/>
            <w:vAlign w:val="center"/>
            <w:hideMark/>
          </w:tcPr>
          <w:p w14:paraId="2EBEBAE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8 (28.6)</w:t>
            </w:r>
          </w:p>
        </w:tc>
        <w:tc>
          <w:tcPr>
            <w:tcW w:w="1414" w:type="dxa"/>
            <w:noWrap/>
            <w:vAlign w:val="center"/>
            <w:hideMark/>
          </w:tcPr>
          <w:p w14:paraId="6615123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6 (27.3)</w:t>
            </w:r>
          </w:p>
        </w:tc>
        <w:tc>
          <w:tcPr>
            <w:tcW w:w="1013" w:type="dxa"/>
            <w:vMerge/>
            <w:vAlign w:val="center"/>
            <w:hideMark/>
          </w:tcPr>
          <w:p w14:paraId="5168FA89"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p>
        </w:tc>
      </w:tr>
      <w:tr w:rsidR="0042572C" w:rsidRPr="0011555A" w14:paraId="04F50697" w14:textId="77777777" w:rsidTr="00DE6595">
        <w:trPr>
          <w:trHeight w:val="310"/>
        </w:trPr>
        <w:tc>
          <w:tcPr>
            <w:tcW w:w="3119" w:type="dxa"/>
            <w:noWrap/>
            <w:vAlign w:val="bottom"/>
            <w:hideMark/>
          </w:tcPr>
          <w:p w14:paraId="5BCB634D"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BMI (kg/m²)</w:t>
            </w:r>
          </w:p>
        </w:tc>
        <w:tc>
          <w:tcPr>
            <w:tcW w:w="1843" w:type="dxa"/>
            <w:noWrap/>
            <w:vAlign w:val="center"/>
            <w:hideMark/>
          </w:tcPr>
          <w:p w14:paraId="24AD64C7"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Mean ±SD</w:t>
            </w:r>
          </w:p>
        </w:tc>
        <w:tc>
          <w:tcPr>
            <w:tcW w:w="2084" w:type="dxa"/>
            <w:noWrap/>
            <w:vAlign w:val="center"/>
            <w:hideMark/>
          </w:tcPr>
          <w:p w14:paraId="2AFFFE0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30 ±7</w:t>
            </w:r>
          </w:p>
        </w:tc>
        <w:tc>
          <w:tcPr>
            <w:tcW w:w="1414" w:type="dxa"/>
            <w:noWrap/>
            <w:vAlign w:val="center"/>
            <w:hideMark/>
          </w:tcPr>
          <w:p w14:paraId="39C16DA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32 ±6</w:t>
            </w:r>
          </w:p>
        </w:tc>
        <w:tc>
          <w:tcPr>
            <w:tcW w:w="1013" w:type="dxa"/>
            <w:noWrap/>
            <w:vAlign w:val="center"/>
            <w:hideMark/>
          </w:tcPr>
          <w:p w14:paraId="4C982CA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0.496</w:t>
            </w:r>
          </w:p>
        </w:tc>
      </w:tr>
      <w:tr w:rsidR="0042572C" w:rsidRPr="0011555A" w14:paraId="5C64A1DB" w14:textId="77777777" w:rsidTr="00DE6595">
        <w:trPr>
          <w:trHeight w:val="310"/>
        </w:trPr>
        <w:tc>
          <w:tcPr>
            <w:tcW w:w="3119" w:type="dxa"/>
            <w:noWrap/>
            <w:vAlign w:val="bottom"/>
            <w:hideMark/>
          </w:tcPr>
          <w:p w14:paraId="470A8A20"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Onset of block (min)</w:t>
            </w:r>
          </w:p>
        </w:tc>
        <w:tc>
          <w:tcPr>
            <w:tcW w:w="1843" w:type="dxa"/>
            <w:noWrap/>
            <w:vAlign w:val="center"/>
            <w:hideMark/>
          </w:tcPr>
          <w:p w14:paraId="7A61BB19"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Mean ±SD</w:t>
            </w:r>
          </w:p>
        </w:tc>
        <w:tc>
          <w:tcPr>
            <w:tcW w:w="2084" w:type="dxa"/>
            <w:noWrap/>
            <w:vAlign w:val="center"/>
            <w:hideMark/>
          </w:tcPr>
          <w:p w14:paraId="1253A73F"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 ±1</w:t>
            </w:r>
          </w:p>
        </w:tc>
        <w:tc>
          <w:tcPr>
            <w:tcW w:w="1414" w:type="dxa"/>
            <w:noWrap/>
            <w:vAlign w:val="center"/>
            <w:hideMark/>
          </w:tcPr>
          <w:p w14:paraId="2E43C46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 ±1</w:t>
            </w:r>
          </w:p>
        </w:tc>
        <w:tc>
          <w:tcPr>
            <w:tcW w:w="1013" w:type="dxa"/>
            <w:noWrap/>
            <w:vAlign w:val="center"/>
            <w:hideMark/>
          </w:tcPr>
          <w:p w14:paraId="78D3475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0.261</w:t>
            </w:r>
          </w:p>
        </w:tc>
      </w:tr>
      <w:tr w:rsidR="0042572C" w:rsidRPr="0011555A" w14:paraId="7B66DA68" w14:textId="77777777" w:rsidTr="00DE6595">
        <w:trPr>
          <w:trHeight w:val="310"/>
        </w:trPr>
        <w:tc>
          <w:tcPr>
            <w:tcW w:w="3119" w:type="dxa"/>
            <w:noWrap/>
            <w:vAlign w:val="bottom"/>
            <w:hideMark/>
          </w:tcPr>
          <w:p w14:paraId="1BA232E4"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Side of surgery</w:t>
            </w:r>
          </w:p>
        </w:tc>
        <w:tc>
          <w:tcPr>
            <w:tcW w:w="1843" w:type="dxa"/>
            <w:noWrap/>
            <w:vAlign w:val="center"/>
            <w:hideMark/>
          </w:tcPr>
          <w:p w14:paraId="3887109F"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p>
        </w:tc>
        <w:tc>
          <w:tcPr>
            <w:tcW w:w="2084" w:type="dxa"/>
            <w:noWrap/>
            <w:vAlign w:val="center"/>
            <w:hideMark/>
          </w:tcPr>
          <w:p w14:paraId="30957BA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414" w:type="dxa"/>
            <w:noWrap/>
            <w:vAlign w:val="center"/>
            <w:hideMark/>
          </w:tcPr>
          <w:p w14:paraId="71B591F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013" w:type="dxa"/>
            <w:noWrap/>
            <w:vAlign w:val="center"/>
            <w:hideMark/>
          </w:tcPr>
          <w:p w14:paraId="5DAE1BA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r>
      <w:tr w:rsidR="0042572C" w:rsidRPr="0011555A" w14:paraId="70D1C366" w14:textId="77777777" w:rsidTr="00DE6595">
        <w:trPr>
          <w:trHeight w:val="310"/>
        </w:trPr>
        <w:tc>
          <w:tcPr>
            <w:tcW w:w="3119" w:type="dxa"/>
            <w:noWrap/>
            <w:vAlign w:val="bottom"/>
            <w:hideMark/>
          </w:tcPr>
          <w:p w14:paraId="33D5CFB4"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Right</w:t>
            </w:r>
          </w:p>
        </w:tc>
        <w:tc>
          <w:tcPr>
            <w:tcW w:w="1843" w:type="dxa"/>
            <w:noWrap/>
            <w:vAlign w:val="center"/>
            <w:hideMark/>
          </w:tcPr>
          <w:p w14:paraId="2C8DF30D"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2084" w:type="dxa"/>
            <w:noWrap/>
            <w:vAlign w:val="center"/>
            <w:hideMark/>
          </w:tcPr>
          <w:p w14:paraId="5CB1F83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13 (46.4)</w:t>
            </w:r>
          </w:p>
        </w:tc>
        <w:tc>
          <w:tcPr>
            <w:tcW w:w="1414" w:type="dxa"/>
            <w:noWrap/>
            <w:vAlign w:val="center"/>
            <w:hideMark/>
          </w:tcPr>
          <w:p w14:paraId="328C1C30"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12 (54.5)</w:t>
            </w:r>
          </w:p>
        </w:tc>
        <w:tc>
          <w:tcPr>
            <w:tcW w:w="1013" w:type="dxa"/>
            <w:noWrap/>
            <w:vAlign w:val="center"/>
            <w:hideMark/>
          </w:tcPr>
          <w:p w14:paraId="44223ED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0.569</w:t>
            </w:r>
          </w:p>
        </w:tc>
      </w:tr>
      <w:tr w:rsidR="0042572C" w:rsidRPr="0011555A" w14:paraId="2CBE8734" w14:textId="77777777" w:rsidTr="00DE6595">
        <w:trPr>
          <w:trHeight w:val="310"/>
        </w:trPr>
        <w:tc>
          <w:tcPr>
            <w:tcW w:w="3119" w:type="dxa"/>
            <w:noWrap/>
            <w:vAlign w:val="bottom"/>
            <w:hideMark/>
          </w:tcPr>
          <w:p w14:paraId="3A422594"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Left</w:t>
            </w:r>
          </w:p>
        </w:tc>
        <w:tc>
          <w:tcPr>
            <w:tcW w:w="1843" w:type="dxa"/>
            <w:noWrap/>
            <w:vAlign w:val="center"/>
            <w:hideMark/>
          </w:tcPr>
          <w:p w14:paraId="16A86C9E"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2084" w:type="dxa"/>
            <w:noWrap/>
            <w:vAlign w:val="center"/>
            <w:hideMark/>
          </w:tcPr>
          <w:p w14:paraId="565BB8AC"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15 (53.6)</w:t>
            </w:r>
          </w:p>
        </w:tc>
        <w:tc>
          <w:tcPr>
            <w:tcW w:w="1414" w:type="dxa"/>
            <w:noWrap/>
            <w:vAlign w:val="center"/>
            <w:hideMark/>
          </w:tcPr>
          <w:p w14:paraId="17C87F12"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10 (45.5)</w:t>
            </w:r>
          </w:p>
        </w:tc>
        <w:tc>
          <w:tcPr>
            <w:tcW w:w="1013" w:type="dxa"/>
            <w:noWrap/>
            <w:vAlign w:val="center"/>
            <w:hideMark/>
          </w:tcPr>
          <w:p w14:paraId="01BF8E30"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r>
      <w:tr w:rsidR="0042572C" w:rsidRPr="0011555A" w14:paraId="6E104873" w14:textId="77777777" w:rsidTr="00DE6595">
        <w:trPr>
          <w:trHeight w:val="310"/>
        </w:trPr>
        <w:tc>
          <w:tcPr>
            <w:tcW w:w="3119" w:type="dxa"/>
            <w:noWrap/>
            <w:vAlign w:val="bottom"/>
            <w:hideMark/>
          </w:tcPr>
          <w:p w14:paraId="24559F79"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Surgery duration (min)</w:t>
            </w:r>
          </w:p>
        </w:tc>
        <w:tc>
          <w:tcPr>
            <w:tcW w:w="1843" w:type="dxa"/>
            <w:noWrap/>
            <w:vAlign w:val="center"/>
            <w:hideMark/>
          </w:tcPr>
          <w:p w14:paraId="03D3BDAD"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Median (range)</w:t>
            </w:r>
          </w:p>
        </w:tc>
        <w:tc>
          <w:tcPr>
            <w:tcW w:w="2084" w:type="dxa"/>
            <w:noWrap/>
            <w:vAlign w:val="center"/>
            <w:hideMark/>
          </w:tcPr>
          <w:p w14:paraId="6D204BB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45 (25 - 130)</w:t>
            </w:r>
          </w:p>
        </w:tc>
        <w:tc>
          <w:tcPr>
            <w:tcW w:w="1414" w:type="dxa"/>
            <w:noWrap/>
            <w:vAlign w:val="center"/>
            <w:hideMark/>
          </w:tcPr>
          <w:p w14:paraId="0B05C2B0"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45 (30 - 90)</w:t>
            </w:r>
          </w:p>
        </w:tc>
        <w:tc>
          <w:tcPr>
            <w:tcW w:w="1013" w:type="dxa"/>
            <w:noWrap/>
            <w:vAlign w:val="center"/>
            <w:hideMark/>
          </w:tcPr>
          <w:p w14:paraId="770AA2B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0.403</w:t>
            </w:r>
          </w:p>
        </w:tc>
      </w:tr>
      <w:tr w:rsidR="0042572C" w:rsidRPr="0011555A" w14:paraId="29B3ACE1" w14:textId="77777777" w:rsidTr="00DE6595">
        <w:trPr>
          <w:trHeight w:val="310"/>
        </w:trPr>
        <w:tc>
          <w:tcPr>
            <w:tcW w:w="3119" w:type="dxa"/>
            <w:noWrap/>
            <w:vAlign w:val="bottom"/>
            <w:hideMark/>
          </w:tcPr>
          <w:p w14:paraId="01B85034"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Need for tourniquet</w:t>
            </w:r>
          </w:p>
        </w:tc>
        <w:tc>
          <w:tcPr>
            <w:tcW w:w="1843" w:type="dxa"/>
            <w:noWrap/>
            <w:vAlign w:val="center"/>
            <w:hideMark/>
          </w:tcPr>
          <w:p w14:paraId="16E98813"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2084" w:type="dxa"/>
            <w:noWrap/>
            <w:vAlign w:val="center"/>
            <w:hideMark/>
          </w:tcPr>
          <w:p w14:paraId="181608B0"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11 (39.3)</w:t>
            </w:r>
          </w:p>
        </w:tc>
        <w:tc>
          <w:tcPr>
            <w:tcW w:w="1414" w:type="dxa"/>
            <w:noWrap/>
            <w:vAlign w:val="center"/>
            <w:hideMark/>
          </w:tcPr>
          <w:p w14:paraId="205812DE"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 (4.5)</w:t>
            </w:r>
          </w:p>
        </w:tc>
        <w:tc>
          <w:tcPr>
            <w:tcW w:w="1013" w:type="dxa"/>
            <w:noWrap/>
            <w:vAlign w:val="center"/>
            <w:hideMark/>
          </w:tcPr>
          <w:p w14:paraId="6DD89AB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0.004*</w:t>
            </w:r>
          </w:p>
        </w:tc>
      </w:tr>
      <w:tr w:rsidR="0042572C" w:rsidRPr="0011555A" w14:paraId="20556F08" w14:textId="77777777" w:rsidTr="00DE6595">
        <w:trPr>
          <w:trHeight w:val="310"/>
        </w:trPr>
        <w:tc>
          <w:tcPr>
            <w:tcW w:w="3119" w:type="dxa"/>
            <w:tcBorders>
              <w:bottom w:val="single" w:sz="12" w:space="0" w:color="auto"/>
            </w:tcBorders>
            <w:noWrap/>
            <w:vAlign w:val="bottom"/>
            <w:hideMark/>
          </w:tcPr>
          <w:p w14:paraId="6CFC0449"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Need for GA</w:t>
            </w:r>
          </w:p>
        </w:tc>
        <w:tc>
          <w:tcPr>
            <w:tcW w:w="1843" w:type="dxa"/>
            <w:tcBorders>
              <w:bottom w:val="single" w:sz="12" w:space="0" w:color="auto"/>
            </w:tcBorders>
            <w:noWrap/>
            <w:vAlign w:val="center"/>
            <w:hideMark/>
          </w:tcPr>
          <w:p w14:paraId="1B3D487A"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2084" w:type="dxa"/>
            <w:tcBorders>
              <w:bottom w:val="single" w:sz="12" w:space="0" w:color="auto"/>
            </w:tcBorders>
            <w:noWrap/>
            <w:vAlign w:val="center"/>
            <w:hideMark/>
          </w:tcPr>
          <w:p w14:paraId="19122FC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9 (32.1)</w:t>
            </w:r>
          </w:p>
        </w:tc>
        <w:tc>
          <w:tcPr>
            <w:tcW w:w="1414" w:type="dxa"/>
            <w:tcBorders>
              <w:bottom w:val="single" w:sz="12" w:space="0" w:color="auto"/>
            </w:tcBorders>
            <w:noWrap/>
            <w:vAlign w:val="center"/>
            <w:hideMark/>
          </w:tcPr>
          <w:p w14:paraId="69C0061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 (4.5)</w:t>
            </w:r>
          </w:p>
        </w:tc>
        <w:tc>
          <w:tcPr>
            <w:tcW w:w="1013" w:type="dxa"/>
            <w:tcBorders>
              <w:bottom w:val="single" w:sz="12" w:space="0" w:color="auto"/>
            </w:tcBorders>
            <w:noWrap/>
            <w:vAlign w:val="center"/>
            <w:hideMark/>
          </w:tcPr>
          <w:p w14:paraId="06B6728E"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0.015*</w:t>
            </w:r>
          </w:p>
        </w:tc>
      </w:tr>
    </w:tbl>
    <w:p w14:paraId="0891374A" w14:textId="77777777" w:rsidR="0042572C" w:rsidRPr="0011555A" w:rsidRDefault="0042572C" w:rsidP="0042572C">
      <w:pPr>
        <w:pStyle w:val="F-note"/>
        <w:ind w:right="-810"/>
        <w:rPr>
          <w:rFonts w:eastAsia="Aptos"/>
        </w:rPr>
      </w:pPr>
      <w:r w:rsidRPr="0011555A">
        <w:rPr>
          <w:rFonts w:eastAsia="Aptos"/>
        </w:rPr>
        <w:t>n: number, ASA: American Society of Anesthesiologists, BMI: Body Mass Index, SD: Standard Deviation, GA: General Anesthesia</w:t>
      </w:r>
    </w:p>
    <w:p w14:paraId="4602B9E5" w14:textId="77777777" w:rsidR="0042572C" w:rsidRPr="0011555A" w:rsidRDefault="0042572C" w:rsidP="0042572C">
      <w:pPr>
        <w:spacing w:line="278" w:lineRule="auto"/>
        <w:rPr>
          <w:rFonts w:asciiTheme="majorBidi" w:eastAsia="Aptos" w:hAnsiTheme="majorBidi" w:cstheme="majorBidi"/>
          <w:b/>
          <w:bCs/>
          <w:kern w:val="2"/>
          <w:sz w:val="24"/>
          <w:szCs w:val="24"/>
          <w14:ligatures w14:val="standardContextual"/>
        </w:rPr>
      </w:pPr>
      <w:r w:rsidRPr="0011555A">
        <w:rPr>
          <w:rFonts w:asciiTheme="majorBidi" w:eastAsia="Aptos" w:hAnsiTheme="majorBidi" w:cstheme="majorBidi"/>
          <w:b/>
          <w:bCs/>
          <w:kern w:val="2"/>
          <w:sz w:val="24"/>
          <w:szCs w:val="24"/>
          <w14:ligatures w14:val="standardContextual"/>
        </w:rPr>
        <w:br w:type="page"/>
      </w:r>
    </w:p>
    <w:p w14:paraId="71A25FE1" w14:textId="1FA8EC11" w:rsidR="0042572C" w:rsidRPr="0011555A" w:rsidRDefault="0042572C" w:rsidP="0042572C">
      <w:pPr>
        <w:keepNext/>
        <w:spacing w:after="0" w:line="240" w:lineRule="auto"/>
        <w:ind w:left="-630" w:right="-988"/>
        <w:jc w:val="both"/>
        <w:rPr>
          <w:rFonts w:asciiTheme="majorBidi" w:eastAsia="Aptos" w:hAnsiTheme="majorBidi" w:cstheme="majorBidi"/>
          <w:b/>
          <w:bCs/>
          <w:kern w:val="2"/>
          <w:sz w:val="24"/>
          <w:szCs w:val="24"/>
          <w14:ligatures w14:val="standardContextual"/>
        </w:rPr>
      </w:pPr>
      <w:r w:rsidRPr="0011555A">
        <w:rPr>
          <w:rFonts w:asciiTheme="majorBidi" w:eastAsia="Aptos" w:hAnsiTheme="majorBidi" w:cstheme="majorBidi"/>
          <w:b/>
          <w:bCs/>
          <w:kern w:val="2"/>
          <w:sz w:val="24"/>
          <w:szCs w:val="24"/>
          <w14:ligatures w14:val="standardContextual"/>
        </w:rPr>
        <w:lastRenderedPageBreak/>
        <w:t xml:space="preserve">Table </w:t>
      </w:r>
      <w:r w:rsidR="00795238">
        <w:rPr>
          <w:rFonts w:asciiTheme="majorBidi" w:eastAsia="Aptos" w:hAnsiTheme="majorBidi" w:cstheme="majorBidi"/>
          <w:b/>
          <w:bCs/>
          <w:kern w:val="2"/>
          <w:sz w:val="24"/>
          <w:szCs w:val="24"/>
          <w14:ligatures w14:val="standardContextual"/>
        </w:rPr>
        <w:t>4</w:t>
      </w:r>
      <w:r w:rsidRPr="0011555A">
        <w:rPr>
          <w:rFonts w:asciiTheme="majorBidi" w:eastAsia="Aptos" w:hAnsiTheme="majorBidi" w:cstheme="majorBidi"/>
          <w:b/>
          <w:bCs/>
          <w:kern w:val="2"/>
          <w:sz w:val="24"/>
          <w:szCs w:val="24"/>
          <w14:ligatures w14:val="standardContextual"/>
        </w:rPr>
        <w:t>: Analgesia requirement, first analgesic request time, opioid requirements, postoperative complications, hospital length of stay, patients’ and surgeons’ satisfaction levels between the studied groups.</w:t>
      </w:r>
    </w:p>
    <w:tbl>
      <w:tblPr>
        <w:tblW w:w="10407" w:type="dxa"/>
        <w:tblInd w:w="-630" w:type="dxa"/>
        <w:tblBorders>
          <w:top w:val="single" w:sz="12" w:space="0" w:color="auto"/>
          <w:bottom w:val="single" w:sz="12" w:space="0" w:color="auto"/>
        </w:tblBorders>
        <w:tblLook w:val="04A0" w:firstRow="1" w:lastRow="0" w:firstColumn="1" w:lastColumn="0" w:noHBand="0" w:noVBand="1"/>
      </w:tblPr>
      <w:tblGrid>
        <w:gridCol w:w="4030"/>
        <w:gridCol w:w="1816"/>
        <w:gridCol w:w="1896"/>
        <w:gridCol w:w="1652"/>
        <w:gridCol w:w="1013"/>
      </w:tblGrid>
      <w:tr w:rsidR="0042572C" w:rsidRPr="0011555A" w14:paraId="7A1EA07C" w14:textId="77777777" w:rsidTr="00DE6595">
        <w:trPr>
          <w:trHeight w:val="310"/>
        </w:trPr>
        <w:tc>
          <w:tcPr>
            <w:tcW w:w="4030" w:type="dxa"/>
            <w:noWrap/>
            <w:vAlign w:val="bottom"/>
            <w:hideMark/>
          </w:tcPr>
          <w:p w14:paraId="7D4524D5" w14:textId="77777777" w:rsidR="0042572C" w:rsidRPr="0011555A" w:rsidRDefault="0042572C" w:rsidP="00DE6595">
            <w:pPr>
              <w:spacing w:after="0" w:line="240" w:lineRule="auto"/>
              <w:rPr>
                <w:rFonts w:asciiTheme="majorBidi" w:eastAsia="Times New Roman" w:hAnsiTheme="majorBidi" w:cstheme="majorBidi"/>
                <w:sz w:val="24"/>
                <w:szCs w:val="24"/>
              </w:rPr>
            </w:pPr>
          </w:p>
        </w:tc>
        <w:tc>
          <w:tcPr>
            <w:tcW w:w="1816" w:type="dxa"/>
            <w:noWrap/>
            <w:vAlign w:val="bottom"/>
            <w:hideMark/>
          </w:tcPr>
          <w:p w14:paraId="60A3075F" w14:textId="77777777" w:rsidR="0042572C" w:rsidRPr="0011555A" w:rsidRDefault="0042572C" w:rsidP="00DE6595">
            <w:pPr>
              <w:spacing w:after="0" w:line="240" w:lineRule="auto"/>
              <w:rPr>
                <w:rFonts w:asciiTheme="majorBidi" w:eastAsia="Times New Roman" w:hAnsiTheme="majorBidi" w:cstheme="majorBidi"/>
                <w:sz w:val="24"/>
                <w:szCs w:val="24"/>
              </w:rPr>
            </w:pPr>
          </w:p>
        </w:tc>
        <w:tc>
          <w:tcPr>
            <w:tcW w:w="3548" w:type="dxa"/>
            <w:gridSpan w:val="2"/>
            <w:tcBorders>
              <w:top w:val="single" w:sz="12" w:space="0" w:color="auto"/>
              <w:bottom w:val="single" w:sz="12" w:space="0" w:color="auto"/>
            </w:tcBorders>
            <w:noWrap/>
            <w:vAlign w:val="center"/>
            <w:hideMark/>
          </w:tcPr>
          <w:p w14:paraId="695EBB6C"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Open procedure</w:t>
            </w:r>
          </w:p>
        </w:tc>
        <w:tc>
          <w:tcPr>
            <w:tcW w:w="1013" w:type="dxa"/>
            <w:noWrap/>
            <w:vAlign w:val="center"/>
            <w:hideMark/>
          </w:tcPr>
          <w:p w14:paraId="72491E5C"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764BA9F1" w14:textId="77777777" w:rsidTr="00DE6595">
        <w:trPr>
          <w:trHeight w:val="310"/>
        </w:trPr>
        <w:tc>
          <w:tcPr>
            <w:tcW w:w="4030" w:type="dxa"/>
            <w:tcBorders>
              <w:bottom w:val="single" w:sz="12" w:space="0" w:color="auto"/>
            </w:tcBorders>
            <w:noWrap/>
            <w:vAlign w:val="bottom"/>
            <w:hideMark/>
          </w:tcPr>
          <w:p w14:paraId="03FFB900" w14:textId="77777777" w:rsidR="0042572C" w:rsidRPr="0011555A" w:rsidRDefault="0042572C" w:rsidP="00DE6595">
            <w:pPr>
              <w:spacing w:after="0" w:line="240" w:lineRule="auto"/>
              <w:jc w:val="center"/>
              <w:rPr>
                <w:rFonts w:asciiTheme="majorBidi" w:eastAsia="Times New Roman" w:hAnsiTheme="majorBidi" w:cstheme="majorBidi"/>
                <w:sz w:val="24"/>
                <w:szCs w:val="24"/>
              </w:rPr>
            </w:pPr>
          </w:p>
        </w:tc>
        <w:tc>
          <w:tcPr>
            <w:tcW w:w="1816" w:type="dxa"/>
            <w:tcBorders>
              <w:bottom w:val="single" w:sz="12" w:space="0" w:color="auto"/>
            </w:tcBorders>
            <w:noWrap/>
            <w:vAlign w:val="bottom"/>
            <w:hideMark/>
          </w:tcPr>
          <w:p w14:paraId="0468E389" w14:textId="77777777" w:rsidR="0042572C" w:rsidRPr="0011555A" w:rsidRDefault="0042572C" w:rsidP="00DE6595">
            <w:pPr>
              <w:spacing w:after="0" w:line="240" w:lineRule="auto"/>
              <w:rPr>
                <w:rFonts w:asciiTheme="majorBidi" w:eastAsia="Times New Roman" w:hAnsiTheme="majorBidi" w:cstheme="majorBidi"/>
                <w:sz w:val="24"/>
                <w:szCs w:val="24"/>
              </w:rPr>
            </w:pPr>
          </w:p>
        </w:tc>
        <w:tc>
          <w:tcPr>
            <w:tcW w:w="1896" w:type="dxa"/>
            <w:tcBorders>
              <w:top w:val="single" w:sz="12" w:space="0" w:color="auto"/>
              <w:bottom w:val="single" w:sz="12" w:space="0" w:color="auto"/>
            </w:tcBorders>
            <w:noWrap/>
            <w:vAlign w:val="center"/>
            <w:hideMark/>
          </w:tcPr>
          <w:p w14:paraId="46EDAA87"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Yes (n = 28)</w:t>
            </w:r>
          </w:p>
        </w:tc>
        <w:tc>
          <w:tcPr>
            <w:tcW w:w="1652" w:type="dxa"/>
            <w:tcBorders>
              <w:top w:val="single" w:sz="12" w:space="0" w:color="auto"/>
              <w:bottom w:val="single" w:sz="12" w:space="0" w:color="auto"/>
            </w:tcBorders>
            <w:noWrap/>
            <w:vAlign w:val="center"/>
            <w:hideMark/>
          </w:tcPr>
          <w:p w14:paraId="26B3D9E2"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No (n = 22)</w:t>
            </w:r>
          </w:p>
        </w:tc>
        <w:tc>
          <w:tcPr>
            <w:tcW w:w="1013" w:type="dxa"/>
            <w:tcBorders>
              <w:bottom w:val="single" w:sz="12" w:space="0" w:color="auto"/>
            </w:tcBorders>
            <w:noWrap/>
            <w:vAlign w:val="center"/>
            <w:hideMark/>
          </w:tcPr>
          <w:p w14:paraId="5CBA6899"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P-value</w:t>
            </w:r>
          </w:p>
        </w:tc>
      </w:tr>
      <w:tr w:rsidR="0042572C" w:rsidRPr="0011555A" w14:paraId="63899776" w14:textId="77777777" w:rsidTr="00DE6595">
        <w:trPr>
          <w:trHeight w:val="310"/>
        </w:trPr>
        <w:tc>
          <w:tcPr>
            <w:tcW w:w="4030" w:type="dxa"/>
            <w:noWrap/>
            <w:vAlign w:val="bottom"/>
            <w:hideMark/>
          </w:tcPr>
          <w:p w14:paraId="4FC38620"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Need for analgesia</w:t>
            </w:r>
          </w:p>
        </w:tc>
        <w:tc>
          <w:tcPr>
            <w:tcW w:w="1816" w:type="dxa"/>
            <w:noWrap/>
            <w:vAlign w:val="center"/>
            <w:hideMark/>
          </w:tcPr>
          <w:p w14:paraId="1AFD51F8"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noWrap/>
            <w:vAlign w:val="center"/>
            <w:hideMark/>
          </w:tcPr>
          <w:p w14:paraId="033E507E"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28 (100)</w:t>
            </w:r>
          </w:p>
        </w:tc>
        <w:tc>
          <w:tcPr>
            <w:tcW w:w="1652" w:type="dxa"/>
            <w:noWrap/>
            <w:vAlign w:val="center"/>
            <w:hideMark/>
          </w:tcPr>
          <w:p w14:paraId="08A2AA7F"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9 (40.9)</w:t>
            </w:r>
          </w:p>
        </w:tc>
        <w:tc>
          <w:tcPr>
            <w:tcW w:w="1013" w:type="dxa"/>
            <w:noWrap/>
            <w:vAlign w:val="center"/>
            <w:hideMark/>
          </w:tcPr>
          <w:p w14:paraId="637390DF"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&lt;0.001*</w:t>
            </w:r>
          </w:p>
        </w:tc>
      </w:tr>
      <w:tr w:rsidR="0042572C" w:rsidRPr="0011555A" w14:paraId="43C305D5" w14:textId="77777777" w:rsidTr="00DE6595">
        <w:trPr>
          <w:trHeight w:val="310"/>
        </w:trPr>
        <w:tc>
          <w:tcPr>
            <w:tcW w:w="4030" w:type="dxa"/>
            <w:noWrap/>
            <w:vAlign w:val="bottom"/>
            <w:hideMark/>
          </w:tcPr>
          <w:p w14:paraId="30848055"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Time to 1</w:t>
            </w:r>
            <w:r w:rsidRPr="0011555A">
              <w:rPr>
                <w:rFonts w:asciiTheme="majorBidi" w:eastAsia="Times New Roman" w:hAnsiTheme="majorBidi" w:cstheme="majorBidi"/>
                <w:b/>
                <w:bCs/>
                <w:color w:val="000000"/>
                <w:sz w:val="24"/>
                <w:szCs w:val="24"/>
                <w:vertAlign w:val="superscript"/>
              </w:rPr>
              <w:t>st</w:t>
            </w:r>
            <w:r w:rsidRPr="0011555A">
              <w:rPr>
                <w:rFonts w:asciiTheme="majorBidi" w:eastAsia="Times New Roman" w:hAnsiTheme="majorBidi" w:cstheme="majorBidi"/>
                <w:b/>
                <w:bCs/>
                <w:color w:val="000000"/>
                <w:sz w:val="24"/>
                <w:szCs w:val="24"/>
              </w:rPr>
              <w:t xml:space="preserve"> analgesia (h)</w:t>
            </w:r>
          </w:p>
        </w:tc>
        <w:tc>
          <w:tcPr>
            <w:tcW w:w="1816" w:type="dxa"/>
            <w:noWrap/>
            <w:vAlign w:val="center"/>
            <w:hideMark/>
          </w:tcPr>
          <w:p w14:paraId="663BF705"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Median (range)</w:t>
            </w:r>
          </w:p>
        </w:tc>
        <w:tc>
          <w:tcPr>
            <w:tcW w:w="1896" w:type="dxa"/>
            <w:noWrap/>
            <w:vAlign w:val="center"/>
            <w:hideMark/>
          </w:tcPr>
          <w:p w14:paraId="2580793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1.8 (0.5 - 2.4)</w:t>
            </w:r>
          </w:p>
        </w:tc>
        <w:tc>
          <w:tcPr>
            <w:tcW w:w="1652" w:type="dxa"/>
            <w:noWrap/>
            <w:vAlign w:val="center"/>
            <w:hideMark/>
          </w:tcPr>
          <w:p w14:paraId="4CB7439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3.8 (2.6 - 5.5)</w:t>
            </w:r>
          </w:p>
        </w:tc>
        <w:tc>
          <w:tcPr>
            <w:tcW w:w="1013" w:type="dxa"/>
            <w:noWrap/>
            <w:vAlign w:val="center"/>
            <w:hideMark/>
          </w:tcPr>
          <w:p w14:paraId="2DA8E76D"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&lt;0.001*</w:t>
            </w:r>
          </w:p>
        </w:tc>
      </w:tr>
      <w:tr w:rsidR="0042572C" w:rsidRPr="0011555A" w14:paraId="144132B6" w14:textId="77777777" w:rsidTr="00DE6595">
        <w:trPr>
          <w:trHeight w:val="310"/>
        </w:trPr>
        <w:tc>
          <w:tcPr>
            <w:tcW w:w="4030" w:type="dxa"/>
            <w:noWrap/>
            <w:vAlign w:val="bottom"/>
            <w:hideMark/>
          </w:tcPr>
          <w:p w14:paraId="2BC38FED"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 xml:space="preserve">24h-morphine consumption </w:t>
            </w:r>
            <w:bookmarkStart w:id="3" w:name="OLE_LINK3"/>
            <w:r w:rsidRPr="0011555A">
              <w:rPr>
                <w:rFonts w:asciiTheme="majorBidi" w:eastAsia="Times New Roman" w:hAnsiTheme="majorBidi" w:cstheme="majorBidi"/>
                <w:b/>
                <w:bCs/>
                <w:color w:val="000000"/>
                <w:sz w:val="24"/>
                <w:szCs w:val="24"/>
              </w:rPr>
              <w:t>(mg/kg)</w:t>
            </w:r>
            <w:bookmarkEnd w:id="3"/>
          </w:p>
        </w:tc>
        <w:tc>
          <w:tcPr>
            <w:tcW w:w="1816" w:type="dxa"/>
            <w:noWrap/>
            <w:vAlign w:val="center"/>
            <w:hideMark/>
          </w:tcPr>
          <w:p w14:paraId="08753EE2"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Median (range)</w:t>
            </w:r>
          </w:p>
        </w:tc>
        <w:tc>
          <w:tcPr>
            <w:tcW w:w="1896" w:type="dxa"/>
            <w:noWrap/>
            <w:vAlign w:val="center"/>
            <w:hideMark/>
          </w:tcPr>
          <w:p w14:paraId="14FA180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10.2 (5.3 - 14.9)</w:t>
            </w:r>
          </w:p>
        </w:tc>
        <w:tc>
          <w:tcPr>
            <w:tcW w:w="1652" w:type="dxa"/>
            <w:noWrap/>
            <w:vAlign w:val="center"/>
            <w:hideMark/>
          </w:tcPr>
          <w:p w14:paraId="597899A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 (0 - 4.5)</w:t>
            </w:r>
          </w:p>
        </w:tc>
        <w:tc>
          <w:tcPr>
            <w:tcW w:w="1013" w:type="dxa"/>
            <w:noWrap/>
            <w:vAlign w:val="center"/>
            <w:hideMark/>
          </w:tcPr>
          <w:p w14:paraId="02ABCF6D"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&lt;0.001*</w:t>
            </w:r>
          </w:p>
        </w:tc>
      </w:tr>
      <w:tr w:rsidR="0042572C" w:rsidRPr="0011555A" w14:paraId="5AA0D48A" w14:textId="77777777" w:rsidTr="00DE6595">
        <w:trPr>
          <w:trHeight w:val="310"/>
        </w:trPr>
        <w:tc>
          <w:tcPr>
            <w:tcW w:w="4030" w:type="dxa"/>
            <w:noWrap/>
            <w:vAlign w:val="bottom"/>
            <w:hideMark/>
          </w:tcPr>
          <w:p w14:paraId="244326BF"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Complications</w:t>
            </w:r>
          </w:p>
        </w:tc>
        <w:tc>
          <w:tcPr>
            <w:tcW w:w="1816" w:type="dxa"/>
            <w:noWrap/>
            <w:vAlign w:val="center"/>
            <w:hideMark/>
          </w:tcPr>
          <w:p w14:paraId="3F322176"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p>
        </w:tc>
        <w:tc>
          <w:tcPr>
            <w:tcW w:w="1896" w:type="dxa"/>
            <w:noWrap/>
            <w:vAlign w:val="center"/>
            <w:hideMark/>
          </w:tcPr>
          <w:p w14:paraId="013A8EE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652" w:type="dxa"/>
            <w:noWrap/>
            <w:vAlign w:val="center"/>
            <w:hideMark/>
          </w:tcPr>
          <w:p w14:paraId="3E89D28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013" w:type="dxa"/>
            <w:noWrap/>
            <w:vAlign w:val="center"/>
            <w:hideMark/>
          </w:tcPr>
          <w:p w14:paraId="485E098A"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2810A476" w14:textId="77777777" w:rsidTr="00DE6595">
        <w:trPr>
          <w:trHeight w:val="310"/>
        </w:trPr>
        <w:tc>
          <w:tcPr>
            <w:tcW w:w="4030" w:type="dxa"/>
            <w:noWrap/>
            <w:vAlign w:val="bottom"/>
            <w:hideMark/>
          </w:tcPr>
          <w:p w14:paraId="6706911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Nausea</w:t>
            </w:r>
          </w:p>
        </w:tc>
        <w:tc>
          <w:tcPr>
            <w:tcW w:w="1816" w:type="dxa"/>
            <w:noWrap/>
            <w:vAlign w:val="center"/>
            <w:hideMark/>
          </w:tcPr>
          <w:p w14:paraId="01F81857"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noWrap/>
            <w:vAlign w:val="center"/>
            <w:hideMark/>
          </w:tcPr>
          <w:p w14:paraId="25CA68F2"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 (3.6)</w:t>
            </w:r>
          </w:p>
        </w:tc>
        <w:tc>
          <w:tcPr>
            <w:tcW w:w="1652" w:type="dxa"/>
            <w:noWrap/>
            <w:vAlign w:val="center"/>
            <w:hideMark/>
          </w:tcPr>
          <w:p w14:paraId="6128CD4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 (9.1)</w:t>
            </w:r>
          </w:p>
        </w:tc>
        <w:tc>
          <w:tcPr>
            <w:tcW w:w="1013" w:type="dxa"/>
            <w:noWrap/>
            <w:vAlign w:val="center"/>
            <w:hideMark/>
          </w:tcPr>
          <w:p w14:paraId="75571013"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0.576</w:t>
            </w:r>
          </w:p>
        </w:tc>
      </w:tr>
      <w:tr w:rsidR="0042572C" w:rsidRPr="0011555A" w14:paraId="77403536" w14:textId="77777777" w:rsidTr="00DE6595">
        <w:trPr>
          <w:trHeight w:val="310"/>
        </w:trPr>
        <w:tc>
          <w:tcPr>
            <w:tcW w:w="4030" w:type="dxa"/>
            <w:noWrap/>
            <w:vAlign w:val="bottom"/>
            <w:hideMark/>
          </w:tcPr>
          <w:p w14:paraId="21820A93"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Vomiting</w:t>
            </w:r>
          </w:p>
        </w:tc>
        <w:tc>
          <w:tcPr>
            <w:tcW w:w="1816" w:type="dxa"/>
            <w:noWrap/>
            <w:vAlign w:val="center"/>
            <w:hideMark/>
          </w:tcPr>
          <w:p w14:paraId="14DC7CBA"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noWrap/>
            <w:vAlign w:val="center"/>
            <w:hideMark/>
          </w:tcPr>
          <w:p w14:paraId="69A99E72"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 (10.7)</w:t>
            </w:r>
          </w:p>
        </w:tc>
        <w:tc>
          <w:tcPr>
            <w:tcW w:w="1652" w:type="dxa"/>
            <w:noWrap/>
            <w:vAlign w:val="center"/>
            <w:hideMark/>
          </w:tcPr>
          <w:p w14:paraId="2B30621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 (4.5)</w:t>
            </w:r>
          </w:p>
        </w:tc>
        <w:tc>
          <w:tcPr>
            <w:tcW w:w="1013" w:type="dxa"/>
            <w:noWrap/>
            <w:vAlign w:val="center"/>
            <w:hideMark/>
          </w:tcPr>
          <w:p w14:paraId="7A2EFA2B"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0.621</w:t>
            </w:r>
          </w:p>
        </w:tc>
      </w:tr>
      <w:tr w:rsidR="0042572C" w:rsidRPr="0011555A" w14:paraId="31F2E14E" w14:textId="77777777" w:rsidTr="00DE6595">
        <w:trPr>
          <w:trHeight w:val="310"/>
        </w:trPr>
        <w:tc>
          <w:tcPr>
            <w:tcW w:w="4030" w:type="dxa"/>
            <w:tcBorders>
              <w:bottom w:val="nil"/>
            </w:tcBorders>
            <w:noWrap/>
            <w:vAlign w:val="bottom"/>
            <w:hideMark/>
          </w:tcPr>
          <w:p w14:paraId="7546408A"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Hospital length of stay (h)</w:t>
            </w:r>
          </w:p>
        </w:tc>
        <w:tc>
          <w:tcPr>
            <w:tcW w:w="1816" w:type="dxa"/>
            <w:tcBorders>
              <w:bottom w:val="nil"/>
            </w:tcBorders>
            <w:noWrap/>
            <w:vAlign w:val="center"/>
            <w:hideMark/>
          </w:tcPr>
          <w:p w14:paraId="2326EBF1"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Mean ±SD</w:t>
            </w:r>
          </w:p>
        </w:tc>
        <w:tc>
          <w:tcPr>
            <w:tcW w:w="1896" w:type="dxa"/>
            <w:tcBorders>
              <w:bottom w:val="nil"/>
            </w:tcBorders>
            <w:noWrap/>
            <w:vAlign w:val="center"/>
            <w:hideMark/>
          </w:tcPr>
          <w:p w14:paraId="27362F2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5 ±2</w:t>
            </w:r>
          </w:p>
        </w:tc>
        <w:tc>
          <w:tcPr>
            <w:tcW w:w="1652" w:type="dxa"/>
            <w:tcBorders>
              <w:bottom w:val="nil"/>
            </w:tcBorders>
            <w:noWrap/>
            <w:vAlign w:val="center"/>
            <w:hideMark/>
          </w:tcPr>
          <w:p w14:paraId="64BACFC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5 ±1</w:t>
            </w:r>
          </w:p>
        </w:tc>
        <w:tc>
          <w:tcPr>
            <w:tcW w:w="1013" w:type="dxa"/>
            <w:tcBorders>
              <w:bottom w:val="nil"/>
            </w:tcBorders>
            <w:noWrap/>
            <w:vAlign w:val="center"/>
            <w:hideMark/>
          </w:tcPr>
          <w:p w14:paraId="6DC176AE"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0.614</w:t>
            </w:r>
          </w:p>
        </w:tc>
      </w:tr>
      <w:tr w:rsidR="0042572C" w:rsidRPr="0011555A" w14:paraId="649DC447" w14:textId="77777777" w:rsidTr="00DE6595">
        <w:trPr>
          <w:trHeight w:val="310"/>
        </w:trPr>
        <w:tc>
          <w:tcPr>
            <w:tcW w:w="4030" w:type="dxa"/>
            <w:tcBorders>
              <w:top w:val="nil"/>
              <w:bottom w:val="nil"/>
            </w:tcBorders>
            <w:noWrap/>
            <w:vAlign w:val="bottom"/>
            <w:hideMark/>
          </w:tcPr>
          <w:p w14:paraId="4DBA3CFC"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Patients' satisfaction</w:t>
            </w:r>
          </w:p>
        </w:tc>
        <w:tc>
          <w:tcPr>
            <w:tcW w:w="1816" w:type="dxa"/>
            <w:tcBorders>
              <w:top w:val="nil"/>
              <w:bottom w:val="nil"/>
            </w:tcBorders>
            <w:noWrap/>
            <w:vAlign w:val="center"/>
            <w:hideMark/>
          </w:tcPr>
          <w:p w14:paraId="7CC26C9B"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p>
        </w:tc>
        <w:tc>
          <w:tcPr>
            <w:tcW w:w="1896" w:type="dxa"/>
            <w:tcBorders>
              <w:top w:val="nil"/>
              <w:bottom w:val="nil"/>
            </w:tcBorders>
            <w:noWrap/>
            <w:vAlign w:val="center"/>
            <w:hideMark/>
          </w:tcPr>
          <w:p w14:paraId="49CD671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652" w:type="dxa"/>
            <w:tcBorders>
              <w:top w:val="nil"/>
              <w:bottom w:val="nil"/>
            </w:tcBorders>
            <w:noWrap/>
            <w:vAlign w:val="center"/>
            <w:hideMark/>
          </w:tcPr>
          <w:p w14:paraId="67F82BF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013" w:type="dxa"/>
            <w:tcBorders>
              <w:top w:val="nil"/>
              <w:bottom w:val="nil"/>
            </w:tcBorders>
            <w:noWrap/>
            <w:vAlign w:val="center"/>
            <w:hideMark/>
          </w:tcPr>
          <w:p w14:paraId="36BBFB20"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182E5682" w14:textId="77777777" w:rsidTr="00DE6595">
        <w:trPr>
          <w:trHeight w:val="310"/>
        </w:trPr>
        <w:tc>
          <w:tcPr>
            <w:tcW w:w="4030" w:type="dxa"/>
            <w:tcBorders>
              <w:top w:val="nil"/>
              <w:bottom w:val="nil"/>
            </w:tcBorders>
            <w:noWrap/>
            <w:vAlign w:val="bottom"/>
            <w:hideMark/>
          </w:tcPr>
          <w:p w14:paraId="137FC6D7"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Very satisfied</w:t>
            </w:r>
          </w:p>
        </w:tc>
        <w:tc>
          <w:tcPr>
            <w:tcW w:w="1816" w:type="dxa"/>
            <w:tcBorders>
              <w:top w:val="nil"/>
              <w:bottom w:val="nil"/>
            </w:tcBorders>
            <w:noWrap/>
            <w:vAlign w:val="center"/>
            <w:hideMark/>
          </w:tcPr>
          <w:p w14:paraId="27FBE0ED"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04F0AE2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5 (17.9)</w:t>
            </w:r>
          </w:p>
        </w:tc>
        <w:tc>
          <w:tcPr>
            <w:tcW w:w="1652" w:type="dxa"/>
            <w:tcBorders>
              <w:top w:val="nil"/>
              <w:bottom w:val="nil"/>
            </w:tcBorders>
            <w:noWrap/>
            <w:vAlign w:val="center"/>
            <w:hideMark/>
          </w:tcPr>
          <w:p w14:paraId="2054ED2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 (13.6)</w:t>
            </w:r>
          </w:p>
        </w:tc>
        <w:tc>
          <w:tcPr>
            <w:tcW w:w="1013" w:type="dxa"/>
            <w:tcBorders>
              <w:top w:val="nil"/>
              <w:bottom w:val="nil"/>
            </w:tcBorders>
            <w:noWrap/>
            <w:vAlign w:val="center"/>
            <w:hideMark/>
          </w:tcPr>
          <w:p w14:paraId="751A9761"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0.203</w:t>
            </w:r>
          </w:p>
        </w:tc>
      </w:tr>
      <w:tr w:rsidR="0042572C" w:rsidRPr="0011555A" w14:paraId="4FFE4D75" w14:textId="77777777" w:rsidTr="00DE6595">
        <w:trPr>
          <w:trHeight w:val="310"/>
        </w:trPr>
        <w:tc>
          <w:tcPr>
            <w:tcW w:w="4030" w:type="dxa"/>
            <w:tcBorders>
              <w:top w:val="nil"/>
              <w:bottom w:val="nil"/>
            </w:tcBorders>
            <w:noWrap/>
            <w:vAlign w:val="bottom"/>
            <w:hideMark/>
          </w:tcPr>
          <w:p w14:paraId="44B96CDA"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Satisfied</w:t>
            </w:r>
          </w:p>
        </w:tc>
        <w:tc>
          <w:tcPr>
            <w:tcW w:w="1816" w:type="dxa"/>
            <w:tcBorders>
              <w:top w:val="nil"/>
              <w:bottom w:val="nil"/>
            </w:tcBorders>
            <w:noWrap/>
            <w:vAlign w:val="center"/>
            <w:hideMark/>
          </w:tcPr>
          <w:p w14:paraId="1891C6CE"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2B849DFC"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11 (39.3)</w:t>
            </w:r>
          </w:p>
        </w:tc>
        <w:tc>
          <w:tcPr>
            <w:tcW w:w="1652" w:type="dxa"/>
            <w:tcBorders>
              <w:top w:val="nil"/>
              <w:bottom w:val="nil"/>
            </w:tcBorders>
            <w:noWrap/>
            <w:vAlign w:val="center"/>
            <w:hideMark/>
          </w:tcPr>
          <w:p w14:paraId="19AD9B8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10 (45.5)</w:t>
            </w:r>
          </w:p>
        </w:tc>
        <w:tc>
          <w:tcPr>
            <w:tcW w:w="1013" w:type="dxa"/>
            <w:tcBorders>
              <w:top w:val="nil"/>
              <w:bottom w:val="nil"/>
            </w:tcBorders>
            <w:noWrap/>
            <w:vAlign w:val="center"/>
            <w:hideMark/>
          </w:tcPr>
          <w:p w14:paraId="34342864"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0FB731E5" w14:textId="77777777" w:rsidTr="00DE6595">
        <w:trPr>
          <w:trHeight w:val="310"/>
        </w:trPr>
        <w:tc>
          <w:tcPr>
            <w:tcW w:w="4030" w:type="dxa"/>
            <w:tcBorders>
              <w:top w:val="nil"/>
              <w:bottom w:val="nil"/>
            </w:tcBorders>
            <w:noWrap/>
            <w:vAlign w:val="bottom"/>
            <w:hideMark/>
          </w:tcPr>
          <w:p w14:paraId="69EE662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Neutral</w:t>
            </w:r>
          </w:p>
        </w:tc>
        <w:tc>
          <w:tcPr>
            <w:tcW w:w="1816" w:type="dxa"/>
            <w:tcBorders>
              <w:top w:val="nil"/>
              <w:bottom w:val="nil"/>
            </w:tcBorders>
            <w:noWrap/>
            <w:vAlign w:val="center"/>
            <w:hideMark/>
          </w:tcPr>
          <w:p w14:paraId="79D0FE04"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61ADCD3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 (14.3)</w:t>
            </w:r>
          </w:p>
        </w:tc>
        <w:tc>
          <w:tcPr>
            <w:tcW w:w="1652" w:type="dxa"/>
            <w:tcBorders>
              <w:top w:val="nil"/>
              <w:bottom w:val="nil"/>
            </w:tcBorders>
            <w:noWrap/>
            <w:vAlign w:val="center"/>
            <w:hideMark/>
          </w:tcPr>
          <w:p w14:paraId="63A6E19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7 (31.8)</w:t>
            </w:r>
          </w:p>
        </w:tc>
        <w:tc>
          <w:tcPr>
            <w:tcW w:w="1013" w:type="dxa"/>
            <w:tcBorders>
              <w:top w:val="nil"/>
              <w:bottom w:val="nil"/>
            </w:tcBorders>
            <w:noWrap/>
            <w:vAlign w:val="center"/>
            <w:hideMark/>
          </w:tcPr>
          <w:p w14:paraId="14294E8D"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409FAEFD" w14:textId="77777777" w:rsidTr="00DE6595">
        <w:trPr>
          <w:trHeight w:val="310"/>
        </w:trPr>
        <w:tc>
          <w:tcPr>
            <w:tcW w:w="4030" w:type="dxa"/>
            <w:tcBorders>
              <w:top w:val="nil"/>
              <w:bottom w:val="nil"/>
            </w:tcBorders>
            <w:noWrap/>
            <w:vAlign w:val="bottom"/>
            <w:hideMark/>
          </w:tcPr>
          <w:p w14:paraId="0201DA4A"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Dissatisfied</w:t>
            </w:r>
          </w:p>
        </w:tc>
        <w:tc>
          <w:tcPr>
            <w:tcW w:w="1816" w:type="dxa"/>
            <w:tcBorders>
              <w:top w:val="nil"/>
              <w:bottom w:val="nil"/>
            </w:tcBorders>
            <w:noWrap/>
            <w:vAlign w:val="center"/>
            <w:hideMark/>
          </w:tcPr>
          <w:p w14:paraId="1C1FEFEC"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1043FC9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 (10.7)</w:t>
            </w:r>
          </w:p>
        </w:tc>
        <w:tc>
          <w:tcPr>
            <w:tcW w:w="1652" w:type="dxa"/>
            <w:tcBorders>
              <w:top w:val="nil"/>
              <w:bottom w:val="nil"/>
            </w:tcBorders>
            <w:noWrap/>
            <w:vAlign w:val="center"/>
            <w:hideMark/>
          </w:tcPr>
          <w:p w14:paraId="1B3D0A4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 (9.1)</w:t>
            </w:r>
          </w:p>
        </w:tc>
        <w:tc>
          <w:tcPr>
            <w:tcW w:w="1013" w:type="dxa"/>
            <w:tcBorders>
              <w:top w:val="nil"/>
              <w:bottom w:val="nil"/>
            </w:tcBorders>
            <w:noWrap/>
            <w:vAlign w:val="center"/>
            <w:hideMark/>
          </w:tcPr>
          <w:p w14:paraId="0FBF800A"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174F6761" w14:textId="77777777" w:rsidTr="00DE6595">
        <w:trPr>
          <w:trHeight w:val="310"/>
        </w:trPr>
        <w:tc>
          <w:tcPr>
            <w:tcW w:w="4030" w:type="dxa"/>
            <w:tcBorders>
              <w:top w:val="nil"/>
              <w:bottom w:val="nil"/>
            </w:tcBorders>
            <w:noWrap/>
            <w:vAlign w:val="bottom"/>
            <w:hideMark/>
          </w:tcPr>
          <w:p w14:paraId="4908F1F5"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Very dissatisfied</w:t>
            </w:r>
          </w:p>
        </w:tc>
        <w:tc>
          <w:tcPr>
            <w:tcW w:w="1816" w:type="dxa"/>
            <w:tcBorders>
              <w:top w:val="nil"/>
              <w:bottom w:val="nil"/>
            </w:tcBorders>
            <w:noWrap/>
            <w:vAlign w:val="center"/>
            <w:hideMark/>
          </w:tcPr>
          <w:p w14:paraId="773719DE"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17E85FFF"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5 (17.9)</w:t>
            </w:r>
          </w:p>
        </w:tc>
        <w:tc>
          <w:tcPr>
            <w:tcW w:w="1652" w:type="dxa"/>
            <w:tcBorders>
              <w:top w:val="nil"/>
              <w:bottom w:val="nil"/>
            </w:tcBorders>
            <w:noWrap/>
            <w:vAlign w:val="center"/>
            <w:hideMark/>
          </w:tcPr>
          <w:p w14:paraId="48B7875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 (0)</w:t>
            </w:r>
          </w:p>
        </w:tc>
        <w:tc>
          <w:tcPr>
            <w:tcW w:w="1013" w:type="dxa"/>
            <w:tcBorders>
              <w:top w:val="nil"/>
              <w:bottom w:val="nil"/>
            </w:tcBorders>
            <w:noWrap/>
            <w:vAlign w:val="center"/>
            <w:hideMark/>
          </w:tcPr>
          <w:p w14:paraId="43CFD5F1"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2E8E08E7" w14:textId="77777777" w:rsidTr="00DE6595">
        <w:trPr>
          <w:trHeight w:val="310"/>
        </w:trPr>
        <w:tc>
          <w:tcPr>
            <w:tcW w:w="4030" w:type="dxa"/>
            <w:tcBorders>
              <w:top w:val="nil"/>
              <w:bottom w:val="nil"/>
            </w:tcBorders>
            <w:noWrap/>
            <w:vAlign w:val="bottom"/>
            <w:hideMark/>
          </w:tcPr>
          <w:p w14:paraId="5C3DAC22"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Surgeons' satisfaction</w:t>
            </w:r>
          </w:p>
        </w:tc>
        <w:tc>
          <w:tcPr>
            <w:tcW w:w="1816" w:type="dxa"/>
            <w:tcBorders>
              <w:top w:val="nil"/>
              <w:bottom w:val="nil"/>
            </w:tcBorders>
            <w:noWrap/>
            <w:vAlign w:val="center"/>
            <w:hideMark/>
          </w:tcPr>
          <w:p w14:paraId="45018186"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p>
        </w:tc>
        <w:tc>
          <w:tcPr>
            <w:tcW w:w="1896" w:type="dxa"/>
            <w:tcBorders>
              <w:top w:val="nil"/>
              <w:bottom w:val="nil"/>
            </w:tcBorders>
            <w:noWrap/>
            <w:vAlign w:val="center"/>
            <w:hideMark/>
          </w:tcPr>
          <w:p w14:paraId="65D2BE1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652" w:type="dxa"/>
            <w:tcBorders>
              <w:top w:val="nil"/>
              <w:bottom w:val="nil"/>
            </w:tcBorders>
            <w:noWrap/>
            <w:vAlign w:val="center"/>
            <w:hideMark/>
          </w:tcPr>
          <w:p w14:paraId="60D3F62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013" w:type="dxa"/>
            <w:tcBorders>
              <w:top w:val="nil"/>
              <w:bottom w:val="nil"/>
            </w:tcBorders>
            <w:noWrap/>
            <w:vAlign w:val="center"/>
            <w:hideMark/>
          </w:tcPr>
          <w:p w14:paraId="3E967EDF"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7BA9B384" w14:textId="77777777" w:rsidTr="00DE6595">
        <w:trPr>
          <w:trHeight w:val="310"/>
        </w:trPr>
        <w:tc>
          <w:tcPr>
            <w:tcW w:w="4030" w:type="dxa"/>
            <w:tcBorders>
              <w:top w:val="nil"/>
              <w:bottom w:val="nil"/>
            </w:tcBorders>
            <w:noWrap/>
            <w:vAlign w:val="bottom"/>
            <w:hideMark/>
          </w:tcPr>
          <w:p w14:paraId="19F8623B"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Very satisfied</w:t>
            </w:r>
          </w:p>
        </w:tc>
        <w:tc>
          <w:tcPr>
            <w:tcW w:w="1816" w:type="dxa"/>
            <w:tcBorders>
              <w:top w:val="nil"/>
              <w:bottom w:val="nil"/>
            </w:tcBorders>
            <w:noWrap/>
            <w:vAlign w:val="center"/>
            <w:hideMark/>
          </w:tcPr>
          <w:p w14:paraId="68DD42E1"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0B5B9C9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9 (32.1)</w:t>
            </w:r>
          </w:p>
        </w:tc>
        <w:tc>
          <w:tcPr>
            <w:tcW w:w="1652" w:type="dxa"/>
            <w:tcBorders>
              <w:top w:val="nil"/>
              <w:bottom w:val="nil"/>
            </w:tcBorders>
            <w:noWrap/>
            <w:vAlign w:val="center"/>
            <w:hideMark/>
          </w:tcPr>
          <w:p w14:paraId="5493011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9 (40.9)</w:t>
            </w:r>
          </w:p>
        </w:tc>
        <w:tc>
          <w:tcPr>
            <w:tcW w:w="1013" w:type="dxa"/>
            <w:tcBorders>
              <w:top w:val="nil"/>
              <w:bottom w:val="nil"/>
            </w:tcBorders>
            <w:noWrap/>
            <w:vAlign w:val="center"/>
            <w:hideMark/>
          </w:tcPr>
          <w:p w14:paraId="269D4D42"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0.261</w:t>
            </w:r>
          </w:p>
        </w:tc>
      </w:tr>
      <w:tr w:rsidR="0042572C" w:rsidRPr="0011555A" w14:paraId="10355A9A" w14:textId="77777777" w:rsidTr="00DE6595">
        <w:trPr>
          <w:trHeight w:val="310"/>
        </w:trPr>
        <w:tc>
          <w:tcPr>
            <w:tcW w:w="4030" w:type="dxa"/>
            <w:tcBorders>
              <w:top w:val="nil"/>
              <w:bottom w:val="nil"/>
            </w:tcBorders>
            <w:noWrap/>
            <w:vAlign w:val="bottom"/>
            <w:hideMark/>
          </w:tcPr>
          <w:p w14:paraId="3858C74A"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Satisfied</w:t>
            </w:r>
          </w:p>
        </w:tc>
        <w:tc>
          <w:tcPr>
            <w:tcW w:w="1816" w:type="dxa"/>
            <w:tcBorders>
              <w:top w:val="nil"/>
              <w:bottom w:val="nil"/>
            </w:tcBorders>
            <w:noWrap/>
            <w:vAlign w:val="center"/>
            <w:hideMark/>
          </w:tcPr>
          <w:p w14:paraId="40E230EF"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407C0C8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7 (25)</w:t>
            </w:r>
          </w:p>
        </w:tc>
        <w:tc>
          <w:tcPr>
            <w:tcW w:w="1652" w:type="dxa"/>
            <w:tcBorders>
              <w:top w:val="nil"/>
              <w:bottom w:val="nil"/>
            </w:tcBorders>
            <w:noWrap/>
            <w:vAlign w:val="center"/>
            <w:hideMark/>
          </w:tcPr>
          <w:p w14:paraId="71F875DF"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9 (40.9)</w:t>
            </w:r>
          </w:p>
        </w:tc>
        <w:tc>
          <w:tcPr>
            <w:tcW w:w="1013" w:type="dxa"/>
            <w:tcBorders>
              <w:top w:val="nil"/>
              <w:bottom w:val="nil"/>
            </w:tcBorders>
            <w:noWrap/>
            <w:vAlign w:val="center"/>
            <w:hideMark/>
          </w:tcPr>
          <w:p w14:paraId="63CED103"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601453D4" w14:textId="77777777" w:rsidTr="00DE6595">
        <w:trPr>
          <w:trHeight w:val="310"/>
        </w:trPr>
        <w:tc>
          <w:tcPr>
            <w:tcW w:w="4030" w:type="dxa"/>
            <w:tcBorders>
              <w:top w:val="nil"/>
              <w:bottom w:val="nil"/>
            </w:tcBorders>
            <w:noWrap/>
            <w:vAlign w:val="bottom"/>
            <w:hideMark/>
          </w:tcPr>
          <w:p w14:paraId="69E178BF"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Neutral</w:t>
            </w:r>
          </w:p>
        </w:tc>
        <w:tc>
          <w:tcPr>
            <w:tcW w:w="1816" w:type="dxa"/>
            <w:tcBorders>
              <w:top w:val="nil"/>
              <w:bottom w:val="nil"/>
            </w:tcBorders>
            <w:noWrap/>
            <w:vAlign w:val="center"/>
            <w:hideMark/>
          </w:tcPr>
          <w:p w14:paraId="09E21713"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419BE5A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7 (25)</w:t>
            </w:r>
          </w:p>
        </w:tc>
        <w:tc>
          <w:tcPr>
            <w:tcW w:w="1652" w:type="dxa"/>
            <w:tcBorders>
              <w:top w:val="nil"/>
              <w:bottom w:val="nil"/>
            </w:tcBorders>
            <w:noWrap/>
            <w:vAlign w:val="center"/>
            <w:hideMark/>
          </w:tcPr>
          <w:p w14:paraId="14C628E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 (18.2)</w:t>
            </w:r>
          </w:p>
        </w:tc>
        <w:tc>
          <w:tcPr>
            <w:tcW w:w="1013" w:type="dxa"/>
            <w:tcBorders>
              <w:top w:val="nil"/>
              <w:bottom w:val="nil"/>
            </w:tcBorders>
            <w:noWrap/>
            <w:vAlign w:val="center"/>
            <w:hideMark/>
          </w:tcPr>
          <w:p w14:paraId="111B518D"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7F585BE2" w14:textId="77777777" w:rsidTr="00DE6595">
        <w:trPr>
          <w:trHeight w:val="310"/>
        </w:trPr>
        <w:tc>
          <w:tcPr>
            <w:tcW w:w="4030" w:type="dxa"/>
            <w:tcBorders>
              <w:top w:val="nil"/>
              <w:bottom w:val="nil"/>
            </w:tcBorders>
            <w:noWrap/>
            <w:vAlign w:val="bottom"/>
            <w:hideMark/>
          </w:tcPr>
          <w:p w14:paraId="06E0E268"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Dissatisfied</w:t>
            </w:r>
          </w:p>
        </w:tc>
        <w:tc>
          <w:tcPr>
            <w:tcW w:w="1816" w:type="dxa"/>
            <w:tcBorders>
              <w:top w:val="nil"/>
              <w:bottom w:val="nil"/>
            </w:tcBorders>
            <w:noWrap/>
            <w:vAlign w:val="center"/>
            <w:hideMark/>
          </w:tcPr>
          <w:p w14:paraId="7C5A62F4"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nil"/>
            </w:tcBorders>
            <w:noWrap/>
            <w:vAlign w:val="center"/>
            <w:hideMark/>
          </w:tcPr>
          <w:p w14:paraId="32932D2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4 (14.3)</w:t>
            </w:r>
          </w:p>
        </w:tc>
        <w:tc>
          <w:tcPr>
            <w:tcW w:w="1652" w:type="dxa"/>
            <w:tcBorders>
              <w:top w:val="nil"/>
              <w:bottom w:val="nil"/>
            </w:tcBorders>
            <w:noWrap/>
            <w:vAlign w:val="center"/>
            <w:hideMark/>
          </w:tcPr>
          <w:p w14:paraId="53388E4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 (0)</w:t>
            </w:r>
          </w:p>
        </w:tc>
        <w:tc>
          <w:tcPr>
            <w:tcW w:w="1013" w:type="dxa"/>
            <w:tcBorders>
              <w:top w:val="nil"/>
              <w:bottom w:val="nil"/>
            </w:tcBorders>
            <w:noWrap/>
            <w:vAlign w:val="center"/>
            <w:hideMark/>
          </w:tcPr>
          <w:p w14:paraId="3BB73AD2"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r w:rsidR="0042572C" w:rsidRPr="0011555A" w14:paraId="5E565EC1" w14:textId="77777777" w:rsidTr="00DE6595">
        <w:trPr>
          <w:trHeight w:val="310"/>
        </w:trPr>
        <w:tc>
          <w:tcPr>
            <w:tcW w:w="4030" w:type="dxa"/>
            <w:tcBorders>
              <w:top w:val="nil"/>
              <w:bottom w:val="single" w:sz="12" w:space="0" w:color="auto"/>
            </w:tcBorders>
            <w:noWrap/>
            <w:vAlign w:val="bottom"/>
            <w:hideMark/>
          </w:tcPr>
          <w:p w14:paraId="7BC9E5E2"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Very dissatisfied</w:t>
            </w:r>
          </w:p>
        </w:tc>
        <w:tc>
          <w:tcPr>
            <w:tcW w:w="1816" w:type="dxa"/>
            <w:tcBorders>
              <w:top w:val="nil"/>
              <w:bottom w:val="single" w:sz="12" w:space="0" w:color="auto"/>
            </w:tcBorders>
            <w:noWrap/>
            <w:vAlign w:val="center"/>
            <w:hideMark/>
          </w:tcPr>
          <w:p w14:paraId="0B8507D1" w14:textId="77777777" w:rsidR="0042572C" w:rsidRPr="0011555A" w:rsidRDefault="0042572C" w:rsidP="00DE6595">
            <w:pPr>
              <w:spacing w:after="0" w:line="240" w:lineRule="auto"/>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n (%)</w:t>
            </w:r>
          </w:p>
        </w:tc>
        <w:tc>
          <w:tcPr>
            <w:tcW w:w="1896" w:type="dxa"/>
            <w:tcBorders>
              <w:top w:val="nil"/>
              <w:bottom w:val="single" w:sz="12" w:space="0" w:color="auto"/>
            </w:tcBorders>
            <w:noWrap/>
            <w:vAlign w:val="center"/>
            <w:hideMark/>
          </w:tcPr>
          <w:p w14:paraId="0989820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 (3.6)</w:t>
            </w:r>
          </w:p>
        </w:tc>
        <w:tc>
          <w:tcPr>
            <w:tcW w:w="1652" w:type="dxa"/>
            <w:tcBorders>
              <w:top w:val="nil"/>
              <w:bottom w:val="single" w:sz="12" w:space="0" w:color="auto"/>
            </w:tcBorders>
            <w:noWrap/>
            <w:vAlign w:val="center"/>
            <w:hideMark/>
          </w:tcPr>
          <w:p w14:paraId="7B4DA9E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 (0)</w:t>
            </w:r>
          </w:p>
        </w:tc>
        <w:tc>
          <w:tcPr>
            <w:tcW w:w="1013" w:type="dxa"/>
            <w:tcBorders>
              <w:top w:val="nil"/>
              <w:bottom w:val="single" w:sz="12" w:space="0" w:color="auto"/>
            </w:tcBorders>
            <w:noWrap/>
            <w:vAlign w:val="center"/>
            <w:hideMark/>
          </w:tcPr>
          <w:p w14:paraId="6D7C8DBC"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r>
    </w:tbl>
    <w:p w14:paraId="327DFCE3" w14:textId="77777777" w:rsidR="0042572C" w:rsidRPr="0011555A" w:rsidRDefault="0042572C" w:rsidP="0042572C">
      <w:pPr>
        <w:pStyle w:val="F-note"/>
        <w:ind w:left="-630"/>
        <w:jc w:val="left"/>
        <w:rPr>
          <w:rFonts w:eastAsia="Aptos"/>
        </w:rPr>
      </w:pPr>
      <w:r w:rsidRPr="0011555A">
        <w:rPr>
          <w:rFonts w:eastAsia="Aptos"/>
        </w:rPr>
        <w:t>n: number, h: hours, mg: milligrams, kg: kilograms, *: Significant P-value.</w:t>
      </w:r>
    </w:p>
    <w:p w14:paraId="265B6416" w14:textId="77777777" w:rsidR="0042572C" w:rsidRPr="0011555A" w:rsidRDefault="0042572C" w:rsidP="0042572C">
      <w:pPr>
        <w:spacing w:line="278" w:lineRule="auto"/>
        <w:rPr>
          <w:rFonts w:ascii="Times New Roman" w:eastAsia="Calibri" w:hAnsi="Times New Roman" w:cs="Times New Roman"/>
          <w:sz w:val="24"/>
          <w:szCs w:val="24"/>
        </w:rPr>
      </w:pPr>
      <w:r w:rsidRPr="0011555A">
        <w:br w:type="page"/>
      </w:r>
    </w:p>
    <w:p w14:paraId="1B1B6EBF" w14:textId="77777777" w:rsidR="0042572C" w:rsidRPr="0011555A" w:rsidRDefault="0042572C" w:rsidP="0042572C">
      <w:pPr>
        <w:pStyle w:val="Caption"/>
        <w:ind w:right="-720"/>
        <w:jc w:val="both"/>
        <w:rPr>
          <w:rFonts w:eastAsia="Aptos"/>
        </w:rPr>
      </w:pPr>
      <w:r w:rsidRPr="0011555A">
        <w:rPr>
          <w:rFonts w:eastAsia="Aptos"/>
        </w:rPr>
        <w:lastRenderedPageBreak/>
        <w:t>Table 5: Multivariate logistic regression analysis to predict the need for tourniquet application and general anesthesia.</w:t>
      </w:r>
    </w:p>
    <w:tbl>
      <w:tblPr>
        <w:tblW w:w="5144" w:type="pct"/>
        <w:tblBorders>
          <w:top w:val="single" w:sz="12" w:space="0" w:color="auto"/>
          <w:bottom w:val="single" w:sz="12" w:space="0" w:color="auto"/>
        </w:tblBorders>
        <w:tblLook w:val="04A0" w:firstRow="1" w:lastRow="0" w:firstColumn="1" w:lastColumn="0" w:noHBand="0" w:noVBand="1"/>
      </w:tblPr>
      <w:tblGrid>
        <w:gridCol w:w="1890"/>
        <w:gridCol w:w="2616"/>
        <w:gridCol w:w="990"/>
        <w:gridCol w:w="222"/>
        <w:gridCol w:w="2616"/>
        <w:gridCol w:w="990"/>
      </w:tblGrid>
      <w:tr w:rsidR="0042572C" w:rsidRPr="0011555A" w14:paraId="2BEB7D0B" w14:textId="77777777" w:rsidTr="00DE6595">
        <w:trPr>
          <w:trHeight w:val="310"/>
        </w:trPr>
        <w:tc>
          <w:tcPr>
            <w:tcW w:w="981" w:type="pct"/>
            <w:noWrap/>
            <w:vAlign w:val="center"/>
            <w:hideMark/>
          </w:tcPr>
          <w:p w14:paraId="06744532" w14:textId="77777777" w:rsidR="0042572C" w:rsidRPr="0011555A" w:rsidRDefault="0042572C" w:rsidP="00DE6595">
            <w:pPr>
              <w:spacing w:after="0" w:line="240" w:lineRule="auto"/>
              <w:rPr>
                <w:rFonts w:asciiTheme="majorBidi" w:eastAsia="Times New Roman" w:hAnsiTheme="majorBidi" w:cstheme="majorBidi"/>
                <w:sz w:val="24"/>
                <w:szCs w:val="24"/>
              </w:rPr>
            </w:pPr>
          </w:p>
        </w:tc>
        <w:tc>
          <w:tcPr>
            <w:tcW w:w="2015" w:type="pct"/>
            <w:gridSpan w:val="2"/>
            <w:tcBorders>
              <w:top w:val="single" w:sz="12" w:space="0" w:color="auto"/>
              <w:bottom w:val="single" w:sz="12" w:space="0" w:color="auto"/>
            </w:tcBorders>
            <w:noWrap/>
            <w:vAlign w:val="center"/>
            <w:hideMark/>
          </w:tcPr>
          <w:p w14:paraId="358F3E4C"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Tourniquets need</w:t>
            </w:r>
          </w:p>
        </w:tc>
        <w:tc>
          <w:tcPr>
            <w:tcW w:w="129" w:type="pct"/>
            <w:noWrap/>
            <w:vAlign w:val="center"/>
            <w:hideMark/>
          </w:tcPr>
          <w:p w14:paraId="5355A6C0"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c>
          <w:tcPr>
            <w:tcW w:w="1875" w:type="pct"/>
            <w:gridSpan w:val="2"/>
            <w:tcBorders>
              <w:top w:val="single" w:sz="12" w:space="0" w:color="auto"/>
              <w:bottom w:val="single" w:sz="12" w:space="0" w:color="auto"/>
            </w:tcBorders>
            <w:noWrap/>
            <w:vAlign w:val="center"/>
            <w:hideMark/>
          </w:tcPr>
          <w:p w14:paraId="17EAF5FC"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General anesthesia need</w:t>
            </w:r>
          </w:p>
        </w:tc>
      </w:tr>
      <w:tr w:rsidR="0042572C" w:rsidRPr="0011555A" w14:paraId="3C6521BF" w14:textId="77777777" w:rsidTr="00DE6595">
        <w:trPr>
          <w:trHeight w:val="310"/>
        </w:trPr>
        <w:tc>
          <w:tcPr>
            <w:tcW w:w="981" w:type="pct"/>
            <w:tcBorders>
              <w:bottom w:val="single" w:sz="12" w:space="0" w:color="auto"/>
            </w:tcBorders>
            <w:noWrap/>
            <w:vAlign w:val="center"/>
            <w:hideMark/>
          </w:tcPr>
          <w:p w14:paraId="0428E73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p>
        </w:tc>
        <w:tc>
          <w:tcPr>
            <w:tcW w:w="1492" w:type="pct"/>
            <w:tcBorders>
              <w:top w:val="single" w:sz="12" w:space="0" w:color="auto"/>
              <w:bottom w:val="single" w:sz="12" w:space="0" w:color="auto"/>
            </w:tcBorders>
            <w:noWrap/>
            <w:vAlign w:val="center"/>
            <w:hideMark/>
          </w:tcPr>
          <w:p w14:paraId="3039EE43"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OR (95% CI)</w:t>
            </w:r>
          </w:p>
        </w:tc>
        <w:tc>
          <w:tcPr>
            <w:tcW w:w="522" w:type="pct"/>
            <w:tcBorders>
              <w:top w:val="single" w:sz="12" w:space="0" w:color="auto"/>
              <w:bottom w:val="single" w:sz="12" w:space="0" w:color="auto"/>
            </w:tcBorders>
            <w:noWrap/>
            <w:vAlign w:val="center"/>
            <w:hideMark/>
          </w:tcPr>
          <w:p w14:paraId="3976414E"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P-value</w:t>
            </w:r>
          </w:p>
        </w:tc>
        <w:tc>
          <w:tcPr>
            <w:tcW w:w="129" w:type="pct"/>
            <w:tcBorders>
              <w:bottom w:val="single" w:sz="12" w:space="0" w:color="auto"/>
            </w:tcBorders>
            <w:noWrap/>
            <w:vAlign w:val="center"/>
            <w:hideMark/>
          </w:tcPr>
          <w:p w14:paraId="08B41353"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c>
          <w:tcPr>
            <w:tcW w:w="1353" w:type="pct"/>
            <w:tcBorders>
              <w:top w:val="single" w:sz="12" w:space="0" w:color="auto"/>
              <w:bottom w:val="single" w:sz="12" w:space="0" w:color="auto"/>
            </w:tcBorders>
            <w:noWrap/>
            <w:vAlign w:val="center"/>
            <w:hideMark/>
          </w:tcPr>
          <w:p w14:paraId="7F55FD4A"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OR (95% CI)</w:t>
            </w:r>
          </w:p>
        </w:tc>
        <w:tc>
          <w:tcPr>
            <w:tcW w:w="522" w:type="pct"/>
            <w:tcBorders>
              <w:top w:val="single" w:sz="12" w:space="0" w:color="auto"/>
              <w:bottom w:val="single" w:sz="12" w:space="0" w:color="auto"/>
            </w:tcBorders>
            <w:noWrap/>
            <w:vAlign w:val="center"/>
            <w:hideMark/>
          </w:tcPr>
          <w:p w14:paraId="20E2EB2F"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P-value</w:t>
            </w:r>
          </w:p>
        </w:tc>
      </w:tr>
      <w:tr w:rsidR="0042572C" w:rsidRPr="0011555A" w14:paraId="4947F0AA" w14:textId="77777777" w:rsidTr="00DE6595">
        <w:trPr>
          <w:trHeight w:val="310"/>
        </w:trPr>
        <w:tc>
          <w:tcPr>
            <w:tcW w:w="981" w:type="pct"/>
            <w:tcBorders>
              <w:top w:val="single" w:sz="12" w:space="0" w:color="auto"/>
            </w:tcBorders>
            <w:noWrap/>
            <w:vAlign w:val="center"/>
            <w:hideMark/>
          </w:tcPr>
          <w:p w14:paraId="0ECC74A8"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Age (years)</w:t>
            </w:r>
          </w:p>
        </w:tc>
        <w:tc>
          <w:tcPr>
            <w:tcW w:w="1492" w:type="pct"/>
            <w:tcBorders>
              <w:top w:val="single" w:sz="12" w:space="0" w:color="auto"/>
            </w:tcBorders>
            <w:noWrap/>
            <w:vAlign w:val="center"/>
            <w:hideMark/>
          </w:tcPr>
          <w:p w14:paraId="54A4037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1.051 (0.982 - 1.126)</w:t>
            </w:r>
          </w:p>
        </w:tc>
        <w:tc>
          <w:tcPr>
            <w:tcW w:w="522" w:type="pct"/>
            <w:tcBorders>
              <w:top w:val="single" w:sz="12" w:space="0" w:color="auto"/>
            </w:tcBorders>
            <w:noWrap/>
            <w:vAlign w:val="center"/>
            <w:hideMark/>
          </w:tcPr>
          <w:p w14:paraId="332582B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0.15</w:t>
            </w:r>
          </w:p>
        </w:tc>
        <w:tc>
          <w:tcPr>
            <w:tcW w:w="129" w:type="pct"/>
            <w:tcBorders>
              <w:top w:val="single" w:sz="12" w:space="0" w:color="auto"/>
            </w:tcBorders>
            <w:noWrap/>
            <w:vAlign w:val="center"/>
            <w:hideMark/>
          </w:tcPr>
          <w:p w14:paraId="4114467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353" w:type="pct"/>
            <w:tcBorders>
              <w:top w:val="single" w:sz="12" w:space="0" w:color="auto"/>
            </w:tcBorders>
            <w:noWrap/>
            <w:vAlign w:val="center"/>
            <w:hideMark/>
          </w:tcPr>
          <w:p w14:paraId="41E07F4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1.065 (0.985 - 1.152)</w:t>
            </w:r>
          </w:p>
        </w:tc>
        <w:tc>
          <w:tcPr>
            <w:tcW w:w="522" w:type="pct"/>
            <w:tcBorders>
              <w:top w:val="single" w:sz="12" w:space="0" w:color="auto"/>
            </w:tcBorders>
            <w:noWrap/>
            <w:vAlign w:val="center"/>
            <w:hideMark/>
          </w:tcPr>
          <w:p w14:paraId="5C8083A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0.112</w:t>
            </w:r>
          </w:p>
        </w:tc>
      </w:tr>
      <w:tr w:rsidR="0042572C" w:rsidRPr="0011555A" w14:paraId="1BB4399A" w14:textId="77777777" w:rsidTr="00DE6595">
        <w:trPr>
          <w:trHeight w:val="310"/>
        </w:trPr>
        <w:tc>
          <w:tcPr>
            <w:tcW w:w="981" w:type="pct"/>
            <w:noWrap/>
            <w:vAlign w:val="center"/>
            <w:hideMark/>
          </w:tcPr>
          <w:p w14:paraId="67E896C7"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Sex</w:t>
            </w:r>
          </w:p>
        </w:tc>
        <w:tc>
          <w:tcPr>
            <w:tcW w:w="1492" w:type="pct"/>
            <w:noWrap/>
            <w:vAlign w:val="center"/>
            <w:hideMark/>
          </w:tcPr>
          <w:p w14:paraId="60ED352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1.389 (0.289 - 6.666)</w:t>
            </w:r>
          </w:p>
        </w:tc>
        <w:tc>
          <w:tcPr>
            <w:tcW w:w="522" w:type="pct"/>
            <w:noWrap/>
            <w:vAlign w:val="center"/>
            <w:hideMark/>
          </w:tcPr>
          <w:p w14:paraId="071CB90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0.681</w:t>
            </w:r>
          </w:p>
        </w:tc>
        <w:tc>
          <w:tcPr>
            <w:tcW w:w="129" w:type="pct"/>
            <w:noWrap/>
            <w:vAlign w:val="center"/>
            <w:hideMark/>
          </w:tcPr>
          <w:p w14:paraId="73F2897E"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353" w:type="pct"/>
            <w:noWrap/>
            <w:vAlign w:val="center"/>
            <w:hideMark/>
          </w:tcPr>
          <w:p w14:paraId="3A91AC12"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3.398 (0.541 - 21.351)</w:t>
            </w:r>
          </w:p>
        </w:tc>
        <w:tc>
          <w:tcPr>
            <w:tcW w:w="522" w:type="pct"/>
            <w:noWrap/>
            <w:vAlign w:val="center"/>
            <w:hideMark/>
          </w:tcPr>
          <w:p w14:paraId="01830DC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0.192</w:t>
            </w:r>
          </w:p>
        </w:tc>
      </w:tr>
      <w:tr w:rsidR="0042572C" w:rsidRPr="0011555A" w14:paraId="60000CB2" w14:textId="77777777" w:rsidTr="00DE6595">
        <w:trPr>
          <w:trHeight w:val="310"/>
        </w:trPr>
        <w:tc>
          <w:tcPr>
            <w:tcW w:w="981" w:type="pct"/>
            <w:noWrap/>
            <w:vAlign w:val="center"/>
            <w:hideMark/>
          </w:tcPr>
          <w:p w14:paraId="6C128629"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ASA</w:t>
            </w:r>
          </w:p>
        </w:tc>
        <w:tc>
          <w:tcPr>
            <w:tcW w:w="1492" w:type="pct"/>
            <w:noWrap/>
            <w:vAlign w:val="center"/>
            <w:hideMark/>
          </w:tcPr>
          <w:p w14:paraId="1DB1C79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1.613 (0.193 - 13.482)</w:t>
            </w:r>
          </w:p>
        </w:tc>
        <w:tc>
          <w:tcPr>
            <w:tcW w:w="522" w:type="pct"/>
            <w:noWrap/>
            <w:vAlign w:val="center"/>
            <w:hideMark/>
          </w:tcPr>
          <w:p w14:paraId="4842FBA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0.659</w:t>
            </w:r>
          </w:p>
        </w:tc>
        <w:tc>
          <w:tcPr>
            <w:tcW w:w="129" w:type="pct"/>
            <w:noWrap/>
            <w:vAlign w:val="center"/>
            <w:hideMark/>
          </w:tcPr>
          <w:p w14:paraId="4CBCB23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353" w:type="pct"/>
            <w:noWrap/>
            <w:vAlign w:val="center"/>
            <w:hideMark/>
          </w:tcPr>
          <w:p w14:paraId="7E0E00E8"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1.984 (0.226 - 17.442)</w:t>
            </w:r>
          </w:p>
        </w:tc>
        <w:tc>
          <w:tcPr>
            <w:tcW w:w="522" w:type="pct"/>
            <w:noWrap/>
            <w:vAlign w:val="center"/>
            <w:hideMark/>
          </w:tcPr>
          <w:p w14:paraId="7A45BA1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0.537</w:t>
            </w:r>
          </w:p>
        </w:tc>
      </w:tr>
      <w:tr w:rsidR="0042572C" w:rsidRPr="0011555A" w14:paraId="52B59F67" w14:textId="77777777" w:rsidTr="00DE6595">
        <w:trPr>
          <w:trHeight w:val="310"/>
        </w:trPr>
        <w:tc>
          <w:tcPr>
            <w:tcW w:w="981" w:type="pct"/>
            <w:noWrap/>
            <w:vAlign w:val="center"/>
            <w:hideMark/>
          </w:tcPr>
          <w:p w14:paraId="7CF3DF8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BMI (kg/m²)</w:t>
            </w:r>
          </w:p>
        </w:tc>
        <w:tc>
          <w:tcPr>
            <w:tcW w:w="1492" w:type="pct"/>
            <w:noWrap/>
            <w:vAlign w:val="center"/>
            <w:hideMark/>
          </w:tcPr>
          <w:p w14:paraId="32D245B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0.925 (0.805 - 1.063)</w:t>
            </w:r>
          </w:p>
        </w:tc>
        <w:tc>
          <w:tcPr>
            <w:tcW w:w="522" w:type="pct"/>
            <w:noWrap/>
            <w:vAlign w:val="center"/>
            <w:hideMark/>
          </w:tcPr>
          <w:p w14:paraId="47C915AF"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0.273</w:t>
            </w:r>
          </w:p>
        </w:tc>
        <w:tc>
          <w:tcPr>
            <w:tcW w:w="129" w:type="pct"/>
            <w:noWrap/>
            <w:vAlign w:val="center"/>
            <w:hideMark/>
          </w:tcPr>
          <w:p w14:paraId="0851A7C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353" w:type="pct"/>
            <w:noWrap/>
            <w:vAlign w:val="center"/>
            <w:hideMark/>
          </w:tcPr>
          <w:p w14:paraId="3F9D4E09"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0.962 (0.839 - 1.104)</w:t>
            </w:r>
          </w:p>
        </w:tc>
        <w:tc>
          <w:tcPr>
            <w:tcW w:w="522" w:type="pct"/>
            <w:noWrap/>
            <w:vAlign w:val="center"/>
            <w:hideMark/>
          </w:tcPr>
          <w:p w14:paraId="10C78E95"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0.583</w:t>
            </w:r>
          </w:p>
        </w:tc>
      </w:tr>
      <w:tr w:rsidR="0042572C" w:rsidRPr="0011555A" w14:paraId="58712646" w14:textId="77777777" w:rsidTr="00DE6595">
        <w:trPr>
          <w:trHeight w:val="310"/>
        </w:trPr>
        <w:tc>
          <w:tcPr>
            <w:tcW w:w="981" w:type="pct"/>
            <w:noWrap/>
            <w:vAlign w:val="center"/>
            <w:hideMark/>
          </w:tcPr>
          <w:p w14:paraId="1CB111E1"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Open procedure</w:t>
            </w:r>
          </w:p>
        </w:tc>
        <w:tc>
          <w:tcPr>
            <w:tcW w:w="1492" w:type="pct"/>
            <w:noWrap/>
            <w:vAlign w:val="center"/>
            <w:hideMark/>
          </w:tcPr>
          <w:p w14:paraId="5007A7F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11.272 (1.229 - 103.339)</w:t>
            </w:r>
          </w:p>
        </w:tc>
        <w:tc>
          <w:tcPr>
            <w:tcW w:w="522" w:type="pct"/>
            <w:noWrap/>
            <w:vAlign w:val="center"/>
            <w:hideMark/>
          </w:tcPr>
          <w:p w14:paraId="50C2EC7E"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0.032*</w:t>
            </w:r>
          </w:p>
        </w:tc>
        <w:tc>
          <w:tcPr>
            <w:tcW w:w="129" w:type="pct"/>
            <w:noWrap/>
            <w:vAlign w:val="center"/>
            <w:hideMark/>
          </w:tcPr>
          <w:p w14:paraId="60F78818"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c>
          <w:tcPr>
            <w:tcW w:w="1353" w:type="pct"/>
            <w:noWrap/>
            <w:vAlign w:val="center"/>
            <w:hideMark/>
          </w:tcPr>
          <w:p w14:paraId="132CF742"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10.111 (0.960 - 106.441)</w:t>
            </w:r>
          </w:p>
        </w:tc>
        <w:tc>
          <w:tcPr>
            <w:tcW w:w="522" w:type="pct"/>
            <w:noWrap/>
            <w:vAlign w:val="center"/>
            <w:hideMark/>
          </w:tcPr>
          <w:p w14:paraId="3F166017"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0.054</w:t>
            </w:r>
            <w:r w:rsidRPr="0011555A">
              <w:rPr>
                <w:rFonts w:asciiTheme="majorBidi" w:eastAsia="Times New Roman" w:hAnsiTheme="majorBidi" w:cstheme="majorBidi"/>
                <w:b/>
                <w:bCs/>
                <w:color w:val="000000"/>
                <w:sz w:val="24"/>
                <w:szCs w:val="24"/>
                <w:vertAlign w:val="superscript"/>
              </w:rPr>
              <w:t>▲</w:t>
            </w:r>
          </w:p>
        </w:tc>
      </w:tr>
    </w:tbl>
    <w:p w14:paraId="07D6360E" w14:textId="77777777" w:rsidR="0042572C" w:rsidRPr="0011555A" w:rsidRDefault="0042572C" w:rsidP="0042572C">
      <w:pPr>
        <w:pStyle w:val="F-note"/>
        <w:ind w:right="-630"/>
        <w:rPr>
          <w:rFonts w:eastAsia="Aptos"/>
        </w:rPr>
      </w:pPr>
      <w:r w:rsidRPr="0011555A">
        <w:rPr>
          <w:rFonts w:eastAsia="Aptos"/>
        </w:rPr>
        <w:t xml:space="preserve">OR: Odds Ratio, CI: Confidence Interval, ASA: American Society of Anesthesiologists, BMI: Body Mass Index, *: Significant P-value, </w:t>
      </w:r>
      <w:r w:rsidRPr="0011555A">
        <w:rPr>
          <w:color w:val="000000"/>
          <w:vertAlign w:val="superscript"/>
        </w:rPr>
        <w:t>▲</w:t>
      </w:r>
      <w:r w:rsidRPr="0011555A">
        <w:rPr>
          <w:color w:val="000000"/>
        </w:rPr>
        <w:t>: Borderline significant</w:t>
      </w:r>
      <w:r w:rsidRPr="0011555A">
        <w:rPr>
          <w:rFonts w:eastAsia="Aptos"/>
        </w:rPr>
        <w:t>.</w:t>
      </w:r>
    </w:p>
    <w:p w14:paraId="57C3BE16" w14:textId="77777777" w:rsidR="005C05A7" w:rsidRDefault="005C05A7" w:rsidP="0042572C">
      <w:pPr>
        <w:pStyle w:val="Caption"/>
        <w:ind w:right="-900"/>
        <w:jc w:val="both"/>
        <w:rPr>
          <w:rFonts w:eastAsia="Aptos"/>
        </w:rPr>
      </w:pPr>
    </w:p>
    <w:p w14:paraId="03675D17" w14:textId="24BE35DC" w:rsidR="00FB5744" w:rsidRDefault="00FB5744">
      <w:pPr>
        <w:rPr>
          <w:rFonts w:ascii="Times New Roman" w:eastAsia="Aptos" w:hAnsi="Times New Roman" w:cs="Times New Roman"/>
          <w:b/>
          <w:bCs/>
          <w:color w:val="000000"/>
          <w:sz w:val="24"/>
          <w:szCs w:val="36"/>
          <w:lang w:val="en-GB" w:eastAsia="x-none"/>
        </w:rPr>
      </w:pPr>
      <w:r>
        <w:rPr>
          <w:rFonts w:eastAsia="Aptos"/>
        </w:rPr>
        <w:br w:type="page"/>
      </w:r>
    </w:p>
    <w:p w14:paraId="3B93688F" w14:textId="4010EC05" w:rsidR="0042572C" w:rsidRPr="0011555A" w:rsidRDefault="0042572C" w:rsidP="0042572C">
      <w:pPr>
        <w:pStyle w:val="Caption"/>
        <w:ind w:right="-900"/>
        <w:jc w:val="both"/>
        <w:rPr>
          <w:rFonts w:eastAsia="Aptos"/>
        </w:rPr>
      </w:pPr>
      <w:r w:rsidRPr="0011555A">
        <w:rPr>
          <w:rFonts w:eastAsia="Aptos"/>
        </w:rPr>
        <w:lastRenderedPageBreak/>
        <w:t xml:space="preserve">Table </w:t>
      </w:r>
      <w:r w:rsidR="00FB5744">
        <w:rPr>
          <w:rFonts w:eastAsia="Aptos"/>
        </w:rPr>
        <w:t>6</w:t>
      </w:r>
      <w:r w:rsidRPr="0011555A">
        <w:rPr>
          <w:rFonts w:eastAsia="Aptos"/>
        </w:rPr>
        <w:t>: Multivariate linear regression analyses to predict time to first rescue analgesia and total morphine consumption.</w:t>
      </w:r>
    </w:p>
    <w:tbl>
      <w:tblPr>
        <w:tblW w:w="5126" w:type="pct"/>
        <w:tblBorders>
          <w:top w:val="single" w:sz="12" w:space="0" w:color="auto"/>
          <w:bottom w:val="single" w:sz="12" w:space="0" w:color="auto"/>
        </w:tblBorders>
        <w:tblLook w:val="04A0" w:firstRow="1" w:lastRow="0" w:firstColumn="1" w:lastColumn="0" w:noHBand="0" w:noVBand="1"/>
      </w:tblPr>
      <w:tblGrid>
        <w:gridCol w:w="1890"/>
        <w:gridCol w:w="2496"/>
        <w:gridCol w:w="1013"/>
        <w:gridCol w:w="222"/>
        <w:gridCol w:w="2564"/>
        <w:gridCol w:w="1346"/>
      </w:tblGrid>
      <w:tr w:rsidR="0042572C" w:rsidRPr="0011555A" w14:paraId="7138D5D7" w14:textId="77777777" w:rsidTr="00DE6595">
        <w:trPr>
          <w:trHeight w:val="290"/>
        </w:trPr>
        <w:tc>
          <w:tcPr>
            <w:tcW w:w="985" w:type="pct"/>
            <w:tcBorders>
              <w:top w:val="single" w:sz="12" w:space="0" w:color="auto"/>
              <w:bottom w:val="nil"/>
            </w:tcBorders>
            <w:noWrap/>
            <w:vAlign w:val="center"/>
            <w:hideMark/>
          </w:tcPr>
          <w:p w14:paraId="211F0B5F" w14:textId="77777777" w:rsidR="0042572C" w:rsidRPr="0011555A" w:rsidRDefault="0042572C" w:rsidP="00DE6595">
            <w:pPr>
              <w:spacing w:after="0" w:line="240" w:lineRule="auto"/>
              <w:jc w:val="center"/>
              <w:rPr>
                <w:rFonts w:asciiTheme="majorBidi" w:eastAsia="Times New Roman" w:hAnsiTheme="majorBidi" w:cstheme="majorBidi"/>
                <w:sz w:val="24"/>
                <w:szCs w:val="24"/>
              </w:rPr>
            </w:pPr>
          </w:p>
        </w:tc>
        <w:tc>
          <w:tcPr>
            <w:tcW w:w="1836" w:type="pct"/>
            <w:gridSpan w:val="2"/>
            <w:tcBorders>
              <w:top w:val="single" w:sz="12" w:space="0" w:color="auto"/>
              <w:bottom w:val="single" w:sz="12" w:space="0" w:color="auto"/>
            </w:tcBorders>
            <w:noWrap/>
            <w:vAlign w:val="center"/>
            <w:hideMark/>
          </w:tcPr>
          <w:p w14:paraId="3F03F1AF" w14:textId="77777777" w:rsidR="0042572C" w:rsidRPr="0011555A" w:rsidRDefault="0042572C" w:rsidP="00DE6595">
            <w:pPr>
              <w:spacing w:after="0" w:line="240" w:lineRule="auto"/>
              <w:ind w:left="-299" w:right="-827"/>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Time to 1</w:t>
            </w:r>
            <w:r w:rsidRPr="0011555A">
              <w:rPr>
                <w:rFonts w:asciiTheme="majorBidi" w:eastAsia="Times New Roman" w:hAnsiTheme="majorBidi" w:cstheme="majorBidi"/>
                <w:b/>
                <w:bCs/>
                <w:color w:val="000000"/>
                <w:sz w:val="24"/>
                <w:szCs w:val="24"/>
                <w:vertAlign w:val="superscript"/>
              </w:rPr>
              <w:t>st</w:t>
            </w:r>
            <w:r w:rsidRPr="0011555A">
              <w:rPr>
                <w:rFonts w:asciiTheme="majorBidi" w:eastAsia="Times New Roman" w:hAnsiTheme="majorBidi" w:cstheme="majorBidi"/>
                <w:b/>
                <w:bCs/>
                <w:color w:val="000000"/>
                <w:sz w:val="24"/>
                <w:szCs w:val="24"/>
              </w:rPr>
              <w:t xml:space="preserve"> analgesia (h)</w:t>
            </w:r>
          </w:p>
        </w:tc>
        <w:tc>
          <w:tcPr>
            <w:tcW w:w="116" w:type="pct"/>
            <w:tcBorders>
              <w:top w:val="single" w:sz="12" w:space="0" w:color="auto"/>
              <w:bottom w:val="nil"/>
            </w:tcBorders>
            <w:noWrap/>
            <w:vAlign w:val="center"/>
            <w:hideMark/>
          </w:tcPr>
          <w:p w14:paraId="155BACEE"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c>
          <w:tcPr>
            <w:tcW w:w="2064" w:type="pct"/>
            <w:gridSpan w:val="2"/>
            <w:tcBorders>
              <w:top w:val="single" w:sz="12" w:space="0" w:color="auto"/>
              <w:bottom w:val="single" w:sz="12" w:space="0" w:color="auto"/>
            </w:tcBorders>
            <w:noWrap/>
            <w:vAlign w:val="center"/>
            <w:hideMark/>
          </w:tcPr>
          <w:p w14:paraId="7905DE94"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24h-morphine consumption (mg/kg)</w:t>
            </w:r>
          </w:p>
        </w:tc>
      </w:tr>
      <w:tr w:rsidR="0042572C" w:rsidRPr="0011555A" w14:paraId="0489DF25" w14:textId="77777777" w:rsidTr="00DE6595">
        <w:trPr>
          <w:trHeight w:val="290"/>
        </w:trPr>
        <w:tc>
          <w:tcPr>
            <w:tcW w:w="985" w:type="pct"/>
            <w:tcBorders>
              <w:top w:val="nil"/>
              <w:bottom w:val="single" w:sz="12" w:space="0" w:color="auto"/>
            </w:tcBorders>
            <w:noWrap/>
            <w:vAlign w:val="center"/>
            <w:hideMark/>
          </w:tcPr>
          <w:p w14:paraId="2C707F89"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c>
          <w:tcPr>
            <w:tcW w:w="1308" w:type="pct"/>
            <w:tcBorders>
              <w:top w:val="single" w:sz="12" w:space="0" w:color="auto"/>
              <w:bottom w:val="single" w:sz="12" w:space="0" w:color="auto"/>
            </w:tcBorders>
            <w:noWrap/>
            <w:vAlign w:val="center"/>
            <w:hideMark/>
          </w:tcPr>
          <w:p w14:paraId="72D969EE"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B (95% CI)</w:t>
            </w:r>
          </w:p>
        </w:tc>
        <w:tc>
          <w:tcPr>
            <w:tcW w:w="528" w:type="pct"/>
            <w:tcBorders>
              <w:top w:val="single" w:sz="12" w:space="0" w:color="auto"/>
              <w:bottom w:val="single" w:sz="12" w:space="0" w:color="auto"/>
            </w:tcBorders>
            <w:noWrap/>
            <w:vAlign w:val="center"/>
            <w:hideMark/>
          </w:tcPr>
          <w:p w14:paraId="19C1D463"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P-value</w:t>
            </w:r>
          </w:p>
        </w:tc>
        <w:tc>
          <w:tcPr>
            <w:tcW w:w="116" w:type="pct"/>
            <w:tcBorders>
              <w:top w:val="nil"/>
              <w:bottom w:val="single" w:sz="12" w:space="0" w:color="auto"/>
            </w:tcBorders>
            <w:noWrap/>
            <w:vAlign w:val="center"/>
            <w:hideMark/>
          </w:tcPr>
          <w:p w14:paraId="3BFD966F"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c>
          <w:tcPr>
            <w:tcW w:w="1353" w:type="pct"/>
            <w:tcBorders>
              <w:top w:val="single" w:sz="12" w:space="0" w:color="auto"/>
              <w:bottom w:val="single" w:sz="12" w:space="0" w:color="auto"/>
            </w:tcBorders>
            <w:noWrap/>
            <w:vAlign w:val="center"/>
            <w:hideMark/>
          </w:tcPr>
          <w:p w14:paraId="0A80EA35"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B (95% CI)</w:t>
            </w:r>
          </w:p>
        </w:tc>
        <w:tc>
          <w:tcPr>
            <w:tcW w:w="711" w:type="pct"/>
            <w:tcBorders>
              <w:top w:val="single" w:sz="12" w:space="0" w:color="auto"/>
              <w:bottom w:val="single" w:sz="12" w:space="0" w:color="auto"/>
            </w:tcBorders>
            <w:noWrap/>
            <w:vAlign w:val="center"/>
            <w:hideMark/>
          </w:tcPr>
          <w:p w14:paraId="0EA5AA7B"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P-value</w:t>
            </w:r>
          </w:p>
        </w:tc>
      </w:tr>
      <w:tr w:rsidR="0042572C" w:rsidRPr="0011555A" w14:paraId="470E49EC" w14:textId="77777777" w:rsidTr="00DE6595">
        <w:trPr>
          <w:trHeight w:val="290"/>
        </w:trPr>
        <w:tc>
          <w:tcPr>
            <w:tcW w:w="985" w:type="pct"/>
            <w:tcBorders>
              <w:top w:val="single" w:sz="12" w:space="0" w:color="auto"/>
            </w:tcBorders>
            <w:noWrap/>
            <w:vAlign w:val="center"/>
            <w:hideMark/>
          </w:tcPr>
          <w:p w14:paraId="3842333B"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Age (years)</w:t>
            </w:r>
          </w:p>
        </w:tc>
        <w:tc>
          <w:tcPr>
            <w:tcW w:w="1308" w:type="pct"/>
            <w:tcBorders>
              <w:top w:val="single" w:sz="12" w:space="0" w:color="auto"/>
            </w:tcBorders>
            <w:noWrap/>
            <w:vAlign w:val="center"/>
            <w:hideMark/>
          </w:tcPr>
          <w:p w14:paraId="5EB43F6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-0.003 (-0.025 - 0.019)</w:t>
            </w:r>
          </w:p>
        </w:tc>
        <w:tc>
          <w:tcPr>
            <w:tcW w:w="528" w:type="pct"/>
            <w:tcBorders>
              <w:top w:val="single" w:sz="12" w:space="0" w:color="auto"/>
            </w:tcBorders>
            <w:noWrap/>
            <w:vAlign w:val="center"/>
            <w:hideMark/>
          </w:tcPr>
          <w:p w14:paraId="43F0BAD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0.777</w:t>
            </w:r>
          </w:p>
        </w:tc>
        <w:tc>
          <w:tcPr>
            <w:tcW w:w="116" w:type="pct"/>
            <w:tcBorders>
              <w:top w:val="single" w:sz="12" w:space="0" w:color="auto"/>
            </w:tcBorders>
            <w:noWrap/>
            <w:vAlign w:val="center"/>
            <w:hideMark/>
          </w:tcPr>
          <w:p w14:paraId="053BB574"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353" w:type="pct"/>
            <w:tcBorders>
              <w:top w:val="single" w:sz="12" w:space="0" w:color="auto"/>
            </w:tcBorders>
            <w:noWrap/>
            <w:vAlign w:val="center"/>
            <w:hideMark/>
          </w:tcPr>
          <w:p w14:paraId="5EACC83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-0.026 (-0.092 - 0.039)</w:t>
            </w:r>
          </w:p>
        </w:tc>
        <w:tc>
          <w:tcPr>
            <w:tcW w:w="711" w:type="pct"/>
            <w:tcBorders>
              <w:top w:val="single" w:sz="12" w:space="0" w:color="auto"/>
            </w:tcBorders>
            <w:noWrap/>
            <w:vAlign w:val="center"/>
            <w:hideMark/>
          </w:tcPr>
          <w:p w14:paraId="258A55E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0.426</w:t>
            </w:r>
          </w:p>
        </w:tc>
      </w:tr>
      <w:tr w:rsidR="0042572C" w:rsidRPr="0011555A" w14:paraId="06FFF4B2" w14:textId="77777777" w:rsidTr="00DE6595">
        <w:trPr>
          <w:trHeight w:val="290"/>
        </w:trPr>
        <w:tc>
          <w:tcPr>
            <w:tcW w:w="985" w:type="pct"/>
            <w:noWrap/>
            <w:vAlign w:val="center"/>
            <w:hideMark/>
          </w:tcPr>
          <w:p w14:paraId="0A36B5C2"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Sex</w:t>
            </w:r>
          </w:p>
        </w:tc>
        <w:tc>
          <w:tcPr>
            <w:tcW w:w="1308" w:type="pct"/>
            <w:noWrap/>
            <w:vAlign w:val="center"/>
            <w:hideMark/>
          </w:tcPr>
          <w:p w14:paraId="6FE790D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0.103 (-0.390 - 0.596)</w:t>
            </w:r>
          </w:p>
        </w:tc>
        <w:tc>
          <w:tcPr>
            <w:tcW w:w="528" w:type="pct"/>
            <w:noWrap/>
            <w:vAlign w:val="center"/>
            <w:hideMark/>
          </w:tcPr>
          <w:p w14:paraId="21AC7F3E"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0.673</w:t>
            </w:r>
          </w:p>
        </w:tc>
        <w:tc>
          <w:tcPr>
            <w:tcW w:w="116" w:type="pct"/>
            <w:noWrap/>
            <w:vAlign w:val="center"/>
            <w:hideMark/>
          </w:tcPr>
          <w:p w14:paraId="719A402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353" w:type="pct"/>
            <w:noWrap/>
            <w:vAlign w:val="center"/>
            <w:hideMark/>
          </w:tcPr>
          <w:p w14:paraId="459C98DF"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0.124 (-1.308 - 1.555)</w:t>
            </w:r>
          </w:p>
        </w:tc>
        <w:tc>
          <w:tcPr>
            <w:tcW w:w="711" w:type="pct"/>
            <w:noWrap/>
            <w:vAlign w:val="center"/>
            <w:hideMark/>
          </w:tcPr>
          <w:p w14:paraId="23A1888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0.863</w:t>
            </w:r>
          </w:p>
        </w:tc>
      </w:tr>
      <w:tr w:rsidR="0042572C" w:rsidRPr="0011555A" w14:paraId="3E5841FD" w14:textId="77777777" w:rsidTr="00DE6595">
        <w:trPr>
          <w:trHeight w:val="290"/>
        </w:trPr>
        <w:tc>
          <w:tcPr>
            <w:tcW w:w="985" w:type="pct"/>
            <w:noWrap/>
            <w:vAlign w:val="center"/>
            <w:hideMark/>
          </w:tcPr>
          <w:p w14:paraId="245B0CFC"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ASA</w:t>
            </w:r>
          </w:p>
        </w:tc>
        <w:tc>
          <w:tcPr>
            <w:tcW w:w="1308" w:type="pct"/>
            <w:noWrap/>
            <w:vAlign w:val="center"/>
            <w:hideMark/>
          </w:tcPr>
          <w:p w14:paraId="540DDB7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-0.009 (-0.728 - 0.711)</w:t>
            </w:r>
          </w:p>
        </w:tc>
        <w:tc>
          <w:tcPr>
            <w:tcW w:w="528" w:type="pct"/>
            <w:noWrap/>
            <w:vAlign w:val="center"/>
            <w:hideMark/>
          </w:tcPr>
          <w:p w14:paraId="32AA303D"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0.980</w:t>
            </w:r>
          </w:p>
        </w:tc>
        <w:tc>
          <w:tcPr>
            <w:tcW w:w="116" w:type="pct"/>
            <w:noWrap/>
            <w:vAlign w:val="center"/>
            <w:hideMark/>
          </w:tcPr>
          <w:p w14:paraId="4609683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353" w:type="pct"/>
            <w:noWrap/>
            <w:vAlign w:val="center"/>
            <w:hideMark/>
          </w:tcPr>
          <w:p w14:paraId="71F071A1"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-0.143 (-2.333 - 2.046)</w:t>
            </w:r>
          </w:p>
        </w:tc>
        <w:tc>
          <w:tcPr>
            <w:tcW w:w="711" w:type="pct"/>
            <w:noWrap/>
            <w:vAlign w:val="center"/>
            <w:hideMark/>
          </w:tcPr>
          <w:p w14:paraId="3044114B"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0.896</w:t>
            </w:r>
          </w:p>
        </w:tc>
      </w:tr>
      <w:tr w:rsidR="0042572C" w:rsidRPr="0011555A" w14:paraId="0F7F631C" w14:textId="77777777" w:rsidTr="00DE6595">
        <w:trPr>
          <w:trHeight w:val="290"/>
        </w:trPr>
        <w:tc>
          <w:tcPr>
            <w:tcW w:w="985" w:type="pct"/>
            <w:noWrap/>
            <w:vAlign w:val="center"/>
            <w:hideMark/>
          </w:tcPr>
          <w:p w14:paraId="5AE85549"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BMI (kg/m²)</w:t>
            </w:r>
          </w:p>
        </w:tc>
        <w:tc>
          <w:tcPr>
            <w:tcW w:w="1308" w:type="pct"/>
            <w:noWrap/>
            <w:vAlign w:val="center"/>
            <w:hideMark/>
          </w:tcPr>
          <w:p w14:paraId="1E1CAB36"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0.002 (-0.043 - 0.047)</w:t>
            </w:r>
          </w:p>
        </w:tc>
        <w:tc>
          <w:tcPr>
            <w:tcW w:w="528" w:type="pct"/>
            <w:noWrap/>
            <w:vAlign w:val="center"/>
            <w:hideMark/>
          </w:tcPr>
          <w:p w14:paraId="4CE0FA5A"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0.928</w:t>
            </w:r>
          </w:p>
        </w:tc>
        <w:tc>
          <w:tcPr>
            <w:tcW w:w="116" w:type="pct"/>
            <w:noWrap/>
            <w:vAlign w:val="center"/>
            <w:hideMark/>
          </w:tcPr>
          <w:p w14:paraId="6DF13053"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p>
        </w:tc>
        <w:tc>
          <w:tcPr>
            <w:tcW w:w="1353" w:type="pct"/>
            <w:noWrap/>
            <w:vAlign w:val="center"/>
            <w:hideMark/>
          </w:tcPr>
          <w:p w14:paraId="58D7D3FE"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-0.074 (-0.204 - 0.055)</w:t>
            </w:r>
          </w:p>
        </w:tc>
        <w:tc>
          <w:tcPr>
            <w:tcW w:w="711" w:type="pct"/>
            <w:noWrap/>
            <w:vAlign w:val="center"/>
            <w:hideMark/>
          </w:tcPr>
          <w:p w14:paraId="6AEC8A37"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0.255</w:t>
            </w:r>
          </w:p>
        </w:tc>
      </w:tr>
      <w:tr w:rsidR="0042572C" w:rsidRPr="0011555A" w14:paraId="721E6A92" w14:textId="77777777" w:rsidTr="00DE6595">
        <w:trPr>
          <w:trHeight w:val="290"/>
        </w:trPr>
        <w:tc>
          <w:tcPr>
            <w:tcW w:w="985" w:type="pct"/>
            <w:noWrap/>
            <w:vAlign w:val="center"/>
            <w:hideMark/>
          </w:tcPr>
          <w:p w14:paraId="2509D7DB" w14:textId="77777777" w:rsidR="0042572C" w:rsidRPr="0011555A" w:rsidRDefault="0042572C" w:rsidP="00DE6595">
            <w:pPr>
              <w:spacing w:after="0" w:line="240" w:lineRule="auto"/>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Open procedure</w:t>
            </w:r>
          </w:p>
        </w:tc>
        <w:tc>
          <w:tcPr>
            <w:tcW w:w="1308" w:type="pct"/>
            <w:noWrap/>
            <w:vAlign w:val="center"/>
            <w:hideMark/>
          </w:tcPr>
          <w:p w14:paraId="05AAA642"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-2.034 (-2.610 - -1.458)</w:t>
            </w:r>
          </w:p>
        </w:tc>
        <w:tc>
          <w:tcPr>
            <w:tcW w:w="528" w:type="pct"/>
            <w:noWrap/>
            <w:vAlign w:val="center"/>
            <w:hideMark/>
          </w:tcPr>
          <w:p w14:paraId="7EB8E034"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&lt;0.001*</w:t>
            </w:r>
          </w:p>
        </w:tc>
        <w:tc>
          <w:tcPr>
            <w:tcW w:w="116" w:type="pct"/>
            <w:noWrap/>
            <w:vAlign w:val="center"/>
            <w:hideMark/>
          </w:tcPr>
          <w:p w14:paraId="157E2DDE"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p>
        </w:tc>
        <w:tc>
          <w:tcPr>
            <w:tcW w:w="1353" w:type="pct"/>
            <w:noWrap/>
            <w:vAlign w:val="center"/>
            <w:hideMark/>
          </w:tcPr>
          <w:p w14:paraId="24B2649C" w14:textId="77777777" w:rsidR="0042572C" w:rsidRPr="0011555A" w:rsidRDefault="0042572C" w:rsidP="00DE6595">
            <w:pPr>
              <w:spacing w:after="0" w:line="240" w:lineRule="auto"/>
              <w:jc w:val="center"/>
              <w:rPr>
                <w:rFonts w:asciiTheme="majorBidi" w:eastAsia="Times New Roman" w:hAnsiTheme="majorBidi" w:cstheme="majorBidi"/>
                <w:color w:val="000000"/>
                <w:sz w:val="24"/>
                <w:szCs w:val="24"/>
              </w:rPr>
            </w:pPr>
            <w:r w:rsidRPr="0011555A">
              <w:rPr>
                <w:rFonts w:asciiTheme="majorBidi" w:eastAsia="Times New Roman" w:hAnsiTheme="majorBidi" w:cstheme="majorBidi"/>
                <w:color w:val="000000"/>
                <w:sz w:val="24"/>
                <w:szCs w:val="24"/>
              </w:rPr>
              <w:t>9.031 (7.567 - 10.495)</w:t>
            </w:r>
          </w:p>
        </w:tc>
        <w:tc>
          <w:tcPr>
            <w:tcW w:w="711" w:type="pct"/>
            <w:noWrap/>
            <w:vAlign w:val="center"/>
            <w:hideMark/>
          </w:tcPr>
          <w:p w14:paraId="6ACA68AB" w14:textId="77777777" w:rsidR="0042572C" w:rsidRPr="0011555A" w:rsidRDefault="0042572C" w:rsidP="00DE6595">
            <w:pPr>
              <w:spacing w:after="0" w:line="240" w:lineRule="auto"/>
              <w:jc w:val="center"/>
              <w:rPr>
                <w:rFonts w:asciiTheme="majorBidi" w:eastAsia="Times New Roman" w:hAnsiTheme="majorBidi" w:cstheme="majorBidi"/>
                <w:b/>
                <w:bCs/>
                <w:color w:val="000000"/>
                <w:sz w:val="24"/>
                <w:szCs w:val="24"/>
              </w:rPr>
            </w:pPr>
            <w:r w:rsidRPr="0011555A">
              <w:rPr>
                <w:rFonts w:asciiTheme="majorBidi" w:eastAsia="Times New Roman" w:hAnsiTheme="majorBidi" w:cstheme="majorBidi"/>
                <w:b/>
                <w:bCs/>
                <w:color w:val="000000"/>
                <w:sz w:val="24"/>
                <w:szCs w:val="24"/>
              </w:rPr>
              <w:t>&lt;0.001*</w:t>
            </w:r>
          </w:p>
        </w:tc>
      </w:tr>
    </w:tbl>
    <w:p w14:paraId="13EB4606" w14:textId="2C79032C" w:rsidR="00FB5744" w:rsidRDefault="0042572C" w:rsidP="0042572C">
      <w:pPr>
        <w:pStyle w:val="F-note"/>
        <w:ind w:right="-810"/>
      </w:pPr>
      <w:r w:rsidRPr="0011555A">
        <w:t>h: hours, mg: milligrams, BMI: Body Mass Index, ASA: American Society of Anesthesiologists, B: Regression Coefficient, CI: Confidence Interval, *: Significant P-value.</w:t>
      </w:r>
    </w:p>
    <w:p w14:paraId="397B7199" w14:textId="77777777" w:rsidR="00FB5744" w:rsidRDefault="00FB5744">
      <w:pPr>
        <w:rPr>
          <w:rFonts w:ascii="Times New Roman" w:eastAsia="Times New Roman" w:hAnsi="Times New Roman" w:cs="Akhbar MT"/>
          <w:sz w:val="20"/>
          <w:szCs w:val="20"/>
          <w:lang w:eastAsia="zh-CN"/>
        </w:rPr>
      </w:pPr>
      <w:r>
        <w:br w:type="page"/>
      </w:r>
    </w:p>
    <w:p w14:paraId="48AE76EF" w14:textId="77777777" w:rsidR="005C05A7" w:rsidRDefault="005C05A7" w:rsidP="005C05A7">
      <w:pPr>
        <w:keepNext/>
        <w:spacing w:line="360" w:lineRule="auto"/>
        <w:jc w:val="center"/>
        <w:rPr>
          <w:rFonts w:ascii="Times New Roman" w:eastAsia="Aptos" w:hAnsi="Times New Roman" w:cs="Times New Roman"/>
          <w:noProof/>
          <w:kern w:val="2"/>
          <w:sz w:val="24"/>
          <w:szCs w:val="24"/>
        </w:rPr>
      </w:pPr>
      <w:r>
        <w:rPr>
          <w:rFonts w:ascii="Times New Roman" w:eastAsia="Aptos" w:hAnsi="Times New Roman" w:cs="Times New Roman"/>
          <w:noProof/>
          <w:kern w:val="2"/>
          <w:sz w:val="24"/>
          <w:szCs w:val="24"/>
        </w:rPr>
        <w:lastRenderedPageBreak/>
        <w:drawing>
          <wp:inline distT="0" distB="0" distL="0" distR="0" wp14:anchorId="1DC9AC31" wp14:editId="5CDF863A">
            <wp:extent cx="3715352" cy="3715352"/>
            <wp:effectExtent l="0" t="0" r="0" b="0"/>
            <wp:docPr id="102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srcRect/>
                    <a:stretch/>
                  </pic:blipFill>
                  <pic:spPr>
                    <a:xfrm>
                      <a:off x="0" y="0"/>
                      <a:ext cx="3715352" cy="3715352"/>
                    </a:xfrm>
                    <a:prstGeom prst="rect">
                      <a:avLst/>
                    </a:prstGeom>
                  </pic:spPr>
                </pic:pic>
              </a:graphicData>
            </a:graphic>
          </wp:inline>
        </w:drawing>
      </w:r>
    </w:p>
    <w:p w14:paraId="68158CDB" w14:textId="77777777" w:rsidR="005C05A7" w:rsidRDefault="005C05A7" w:rsidP="005C05A7">
      <w:pPr>
        <w:pStyle w:val="Caption"/>
        <w:jc w:val="center"/>
        <w:rPr>
          <w:rFonts w:eastAsia="Aptos"/>
          <w:b w:val="0"/>
          <w:bCs w:val="0"/>
          <w:szCs w:val="24"/>
        </w:rPr>
      </w:pPr>
      <w:r>
        <w:rPr>
          <w:szCs w:val="24"/>
        </w:rPr>
        <w:t>Figure 1: Flowchart illustrating patient inclusion and follow-up in the study</w:t>
      </w:r>
      <w:r>
        <w:rPr>
          <w:rFonts w:eastAsia="Aptos"/>
          <w:b w:val="0"/>
          <w:bCs w:val="0"/>
          <w:szCs w:val="24"/>
        </w:rPr>
        <w:t>.</w:t>
      </w:r>
    </w:p>
    <w:p w14:paraId="0DA6DEEE" w14:textId="23FBA0DE" w:rsidR="00FB5744" w:rsidRDefault="00FB5744">
      <w:pPr>
        <w:rPr>
          <w:rFonts w:ascii="Times New Roman" w:eastAsia="Times New Roman" w:hAnsi="Times New Roman" w:cs="Akhbar MT"/>
          <w:sz w:val="20"/>
          <w:szCs w:val="20"/>
          <w:lang w:val="en-GB" w:eastAsia="zh-CN"/>
        </w:rPr>
      </w:pPr>
      <w:r>
        <w:rPr>
          <w:lang w:val="en-GB"/>
        </w:rPr>
        <w:br w:type="page"/>
      </w:r>
    </w:p>
    <w:p w14:paraId="03E9CD12" w14:textId="77777777" w:rsidR="0042572C" w:rsidRPr="0011555A" w:rsidRDefault="0042572C" w:rsidP="0042572C">
      <w:pPr>
        <w:pStyle w:val="Fig"/>
        <w:rPr>
          <w:lang w:eastAsia="zh-CN"/>
        </w:rPr>
      </w:pPr>
      <w:r w:rsidRPr="0011555A">
        <w:rPr>
          <w:lang w:eastAsia="zh-CN"/>
        </w:rPr>
        <w:object w:dxaOrig="6490" w:dyaOrig="5305" w14:anchorId="6BC35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242.6pt" o:ole="" o:bordertopcolor="this" o:borderleftcolor="this" o:borderbottomcolor="this" o:borderrightcolor="this">
            <v:imagedata r:id="rId9" o:title=""/>
            <w10:bordertop type="single" width="12"/>
            <w10:borderleft type="single" width="12"/>
            <w10:borderbottom type="single" width="12"/>
            <w10:borderright type="single" width="12"/>
          </v:shape>
          <o:OLEObject Type="Embed" ProgID="Prism8.Document" ShapeID="_x0000_i1025" DrawAspect="Content" ObjectID="_1832057302" r:id="rId10"/>
        </w:object>
      </w:r>
    </w:p>
    <w:p w14:paraId="3B6CD6A0" w14:textId="2D765372" w:rsidR="0042572C" w:rsidRPr="0011555A" w:rsidRDefault="0042572C" w:rsidP="0042572C">
      <w:pPr>
        <w:pStyle w:val="Fig"/>
        <w:rPr>
          <w:lang w:val="en-GB"/>
        </w:rPr>
      </w:pPr>
      <w:r w:rsidRPr="0011555A">
        <w:rPr>
          <w:lang w:val="en-GB"/>
        </w:rPr>
        <w:t xml:space="preserve">Figure </w:t>
      </w:r>
      <w:r w:rsidR="009953D9">
        <w:rPr>
          <w:lang w:val="en-GB"/>
        </w:rPr>
        <w:t>2</w:t>
      </w:r>
      <w:r w:rsidRPr="0011555A">
        <w:rPr>
          <w:lang w:val="en-GB"/>
        </w:rPr>
        <w:t>: Median postoperative pain scores (VAS) over time among the studied patients.</w:t>
      </w:r>
    </w:p>
    <w:p w14:paraId="59727C9C" w14:textId="77777777" w:rsidR="0042572C" w:rsidRPr="0011555A" w:rsidRDefault="0042572C" w:rsidP="0042572C">
      <w:pPr>
        <w:spacing w:line="278" w:lineRule="auto"/>
        <w:rPr>
          <w:rFonts w:ascii="Times New Roman" w:eastAsia="Times New Roman" w:hAnsi="Times New Roman" w:cs="Times New Roman"/>
          <w:b/>
          <w:bCs/>
          <w:color w:val="000000"/>
          <w:sz w:val="24"/>
          <w:szCs w:val="24"/>
          <w:lang w:val="en-GB" w:eastAsia="x-none"/>
        </w:rPr>
      </w:pPr>
      <w:r w:rsidRPr="0011555A">
        <w:rPr>
          <w:rFonts w:ascii="Times New Roman" w:eastAsia="Times New Roman" w:hAnsi="Times New Roman" w:cs="Times New Roman"/>
          <w:b/>
          <w:bCs/>
          <w:color w:val="000000"/>
          <w:sz w:val="24"/>
          <w:szCs w:val="24"/>
          <w:lang w:val="en-GB" w:eastAsia="x-none"/>
        </w:rPr>
        <w:br w:type="page"/>
      </w:r>
    </w:p>
    <w:p w14:paraId="18234743" w14:textId="77777777" w:rsidR="0042572C" w:rsidRPr="0011555A" w:rsidRDefault="0042572C" w:rsidP="0042572C">
      <w:pPr>
        <w:pStyle w:val="Fig"/>
        <w:rPr>
          <w:rFonts w:eastAsia="Times New Roman"/>
        </w:rPr>
      </w:pPr>
      <w:r w:rsidRPr="0011555A">
        <w:object w:dxaOrig="8384" w:dyaOrig="5067" w14:anchorId="4034C9E9">
          <v:shape id="_x0000_i1026" type="#_x0000_t75" style="width:415.15pt;height:253.6pt" o:ole="" o:bordertopcolor="this" o:borderleftcolor="this" o:borderbottomcolor="this" o:borderrightcolor="this">
            <v:imagedata r:id="rId11" o:title=""/>
            <w10:bordertop type="single" width="12"/>
            <w10:borderleft type="single" width="12"/>
            <w10:borderbottom type="single" width="12"/>
            <w10:borderright type="single" width="12"/>
          </v:shape>
          <o:OLEObject Type="Embed" ProgID="Prism8.Document" ShapeID="_x0000_i1026" DrawAspect="Content" ObjectID="_1832057303" r:id="rId12"/>
        </w:object>
      </w:r>
    </w:p>
    <w:p w14:paraId="0FDB475E" w14:textId="6FB86C88" w:rsidR="005C05A7" w:rsidRDefault="0042572C" w:rsidP="005C05A7">
      <w:pPr>
        <w:pStyle w:val="Fig"/>
      </w:pPr>
      <w:r w:rsidRPr="0011555A">
        <w:t xml:space="preserve">Figure </w:t>
      </w:r>
      <w:r w:rsidR="009F2320">
        <w:t>3</w:t>
      </w:r>
      <w:r w:rsidRPr="0011555A">
        <w:t>: Median postoperative VAS scores over time between open and non-open procedure groups.</w:t>
      </w:r>
    </w:p>
    <w:p w14:paraId="22DD486B" w14:textId="47857B94" w:rsidR="005C05A7" w:rsidRDefault="005C05A7" w:rsidP="005C05A7">
      <w:pPr>
        <w:pStyle w:val="Fig"/>
      </w:pPr>
    </w:p>
    <w:sectPr w:rsidR="005C05A7">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0992" w14:textId="77777777" w:rsidR="009522C0" w:rsidRDefault="009522C0" w:rsidP="00C74384">
      <w:pPr>
        <w:spacing w:after="0" w:line="240" w:lineRule="auto"/>
      </w:pPr>
      <w:r>
        <w:separator/>
      </w:r>
    </w:p>
  </w:endnote>
  <w:endnote w:type="continuationSeparator" w:id="0">
    <w:p w14:paraId="093E2F85" w14:textId="77777777" w:rsidR="009522C0" w:rsidRDefault="009522C0"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83811"/>
      <w:docPartObj>
        <w:docPartGallery w:val="Page Numbers (Bottom of Page)"/>
        <w:docPartUnique/>
      </w:docPartObj>
    </w:sdtPr>
    <w:sdtEndPr>
      <w:rPr>
        <w:noProof/>
      </w:rPr>
    </w:sdtEndPr>
    <w:sdtContent>
      <w:p w14:paraId="3209EAE3" w14:textId="4143EA4E" w:rsidR="009814D2" w:rsidRDefault="009814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5140" w14:textId="77777777" w:rsidR="009522C0" w:rsidRDefault="009522C0" w:rsidP="00C74384">
      <w:pPr>
        <w:spacing w:after="0" w:line="240" w:lineRule="auto"/>
      </w:pPr>
      <w:r>
        <w:separator/>
      </w:r>
    </w:p>
  </w:footnote>
  <w:footnote w:type="continuationSeparator" w:id="0">
    <w:p w14:paraId="59C66BA2" w14:textId="77777777" w:rsidR="009522C0" w:rsidRDefault="009522C0"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617571">
    <w:abstractNumId w:val="3"/>
  </w:num>
  <w:num w:numId="2" w16cid:durableId="17880382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778577">
    <w:abstractNumId w:val="7"/>
  </w:num>
  <w:num w:numId="4" w16cid:durableId="829177612">
    <w:abstractNumId w:val="5"/>
  </w:num>
  <w:num w:numId="5" w16cid:durableId="1539467243">
    <w:abstractNumId w:val="2"/>
  </w:num>
  <w:num w:numId="6" w16cid:durableId="760834063">
    <w:abstractNumId w:val="6"/>
  </w:num>
  <w:num w:numId="7" w16cid:durableId="605314192">
    <w:abstractNumId w:val="8"/>
  </w:num>
  <w:num w:numId="8" w16cid:durableId="1862357917">
    <w:abstractNumId w:val="10"/>
  </w:num>
  <w:num w:numId="9" w16cid:durableId="2014065979">
    <w:abstractNumId w:val="4"/>
  </w:num>
  <w:num w:numId="10" w16cid:durableId="82341447">
    <w:abstractNumId w:val="9"/>
  </w:num>
  <w:num w:numId="11" w16cid:durableId="1829125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t20xewp52vwseffx05e2xrvrzda90xdpws&quot;&gt;My EndNote Library&lt;record-ids&gt;&lt;item&gt;1208&lt;/item&gt;&lt;item&gt;1209&lt;/item&gt;&lt;/record-ids&gt;&lt;/item&gt;&lt;/Libraries&gt;"/>
  </w:docVars>
  <w:rsids>
    <w:rsidRoot w:val="0080458C"/>
    <w:rsid w:val="00003169"/>
    <w:rsid w:val="0000402E"/>
    <w:rsid w:val="00005B76"/>
    <w:rsid w:val="00012A12"/>
    <w:rsid w:val="00015DBA"/>
    <w:rsid w:val="000245C3"/>
    <w:rsid w:val="00025A1C"/>
    <w:rsid w:val="00044AB2"/>
    <w:rsid w:val="0005337F"/>
    <w:rsid w:val="00057E60"/>
    <w:rsid w:val="0006002A"/>
    <w:rsid w:val="00061B04"/>
    <w:rsid w:val="000628C8"/>
    <w:rsid w:val="00063B51"/>
    <w:rsid w:val="00065EA1"/>
    <w:rsid w:val="00066A36"/>
    <w:rsid w:val="00067272"/>
    <w:rsid w:val="00070077"/>
    <w:rsid w:val="000710AB"/>
    <w:rsid w:val="00074C71"/>
    <w:rsid w:val="000879A7"/>
    <w:rsid w:val="00097809"/>
    <w:rsid w:val="000A1271"/>
    <w:rsid w:val="000A22A9"/>
    <w:rsid w:val="000A2DB1"/>
    <w:rsid w:val="000A39B8"/>
    <w:rsid w:val="000B0345"/>
    <w:rsid w:val="000B2793"/>
    <w:rsid w:val="000B3487"/>
    <w:rsid w:val="000B39F8"/>
    <w:rsid w:val="000B7E10"/>
    <w:rsid w:val="000C07DA"/>
    <w:rsid w:val="000C5FCB"/>
    <w:rsid w:val="000D1B47"/>
    <w:rsid w:val="000D4011"/>
    <w:rsid w:val="000D52EF"/>
    <w:rsid w:val="000D79A5"/>
    <w:rsid w:val="000E00EC"/>
    <w:rsid w:val="000E12B8"/>
    <w:rsid w:val="000E7B9E"/>
    <w:rsid w:val="000F1C81"/>
    <w:rsid w:val="000F2063"/>
    <w:rsid w:val="000F21A7"/>
    <w:rsid w:val="000F6F30"/>
    <w:rsid w:val="001013CD"/>
    <w:rsid w:val="00110757"/>
    <w:rsid w:val="001114AC"/>
    <w:rsid w:val="00111B7A"/>
    <w:rsid w:val="00113F38"/>
    <w:rsid w:val="0011555A"/>
    <w:rsid w:val="00122651"/>
    <w:rsid w:val="00124296"/>
    <w:rsid w:val="0013014E"/>
    <w:rsid w:val="0013238F"/>
    <w:rsid w:val="00136557"/>
    <w:rsid w:val="00137E4A"/>
    <w:rsid w:val="001448DE"/>
    <w:rsid w:val="0015338E"/>
    <w:rsid w:val="00154D00"/>
    <w:rsid w:val="00154ED4"/>
    <w:rsid w:val="00156F36"/>
    <w:rsid w:val="0015748C"/>
    <w:rsid w:val="00164270"/>
    <w:rsid w:val="00170580"/>
    <w:rsid w:val="00171E82"/>
    <w:rsid w:val="0017313E"/>
    <w:rsid w:val="001806DE"/>
    <w:rsid w:val="00181861"/>
    <w:rsid w:val="001821B0"/>
    <w:rsid w:val="00183C54"/>
    <w:rsid w:val="00183C88"/>
    <w:rsid w:val="0019100B"/>
    <w:rsid w:val="00193C5B"/>
    <w:rsid w:val="001A28C2"/>
    <w:rsid w:val="001A3C75"/>
    <w:rsid w:val="001B0155"/>
    <w:rsid w:val="001B0DBF"/>
    <w:rsid w:val="001D11FD"/>
    <w:rsid w:val="001D2A4E"/>
    <w:rsid w:val="001D5F11"/>
    <w:rsid w:val="001D61DE"/>
    <w:rsid w:val="001E180D"/>
    <w:rsid w:val="001E28E3"/>
    <w:rsid w:val="00200257"/>
    <w:rsid w:val="00211CCF"/>
    <w:rsid w:val="002152C1"/>
    <w:rsid w:val="00215D22"/>
    <w:rsid w:val="002247FE"/>
    <w:rsid w:val="00224D86"/>
    <w:rsid w:val="002263F9"/>
    <w:rsid w:val="00226407"/>
    <w:rsid w:val="00236FF5"/>
    <w:rsid w:val="0024066F"/>
    <w:rsid w:val="002462CF"/>
    <w:rsid w:val="002659E4"/>
    <w:rsid w:val="00267AAC"/>
    <w:rsid w:val="00267EF7"/>
    <w:rsid w:val="0027348F"/>
    <w:rsid w:val="00273ABD"/>
    <w:rsid w:val="002772FA"/>
    <w:rsid w:val="0028081A"/>
    <w:rsid w:val="002834CF"/>
    <w:rsid w:val="0029554D"/>
    <w:rsid w:val="002958FE"/>
    <w:rsid w:val="00297D0E"/>
    <w:rsid w:val="002A02C5"/>
    <w:rsid w:val="002B18DF"/>
    <w:rsid w:val="002B51D7"/>
    <w:rsid w:val="002B584A"/>
    <w:rsid w:val="002C5C94"/>
    <w:rsid w:val="002C6932"/>
    <w:rsid w:val="002D24C3"/>
    <w:rsid w:val="002D2D92"/>
    <w:rsid w:val="002D608E"/>
    <w:rsid w:val="002E294B"/>
    <w:rsid w:val="002F0265"/>
    <w:rsid w:val="002F36D1"/>
    <w:rsid w:val="002F4F17"/>
    <w:rsid w:val="00307231"/>
    <w:rsid w:val="00307D5D"/>
    <w:rsid w:val="00311C07"/>
    <w:rsid w:val="00311CCE"/>
    <w:rsid w:val="0031332E"/>
    <w:rsid w:val="00317776"/>
    <w:rsid w:val="00320C7C"/>
    <w:rsid w:val="00325EFF"/>
    <w:rsid w:val="003268AA"/>
    <w:rsid w:val="00333FD1"/>
    <w:rsid w:val="00344B51"/>
    <w:rsid w:val="00346F3E"/>
    <w:rsid w:val="00350C0E"/>
    <w:rsid w:val="0035559E"/>
    <w:rsid w:val="003608CD"/>
    <w:rsid w:val="003619B4"/>
    <w:rsid w:val="0037222E"/>
    <w:rsid w:val="00374077"/>
    <w:rsid w:val="003750FF"/>
    <w:rsid w:val="0037534B"/>
    <w:rsid w:val="00377343"/>
    <w:rsid w:val="00387606"/>
    <w:rsid w:val="0039281A"/>
    <w:rsid w:val="00393000"/>
    <w:rsid w:val="00394F42"/>
    <w:rsid w:val="003A066E"/>
    <w:rsid w:val="003A5226"/>
    <w:rsid w:val="003A7C02"/>
    <w:rsid w:val="003B210A"/>
    <w:rsid w:val="003C195A"/>
    <w:rsid w:val="003C2DC3"/>
    <w:rsid w:val="003C33BF"/>
    <w:rsid w:val="003C3E84"/>
    <w:rsid w:val="003C4F60"/>
    <w:rsid w:val="003D4F79"/>
    <w:rsid w:val="003E5294"/>
    <w:rsid w:val="003F28F3"/>
    <w:rsid w:val="003F3521"/>
    <w:rsid w:val="0040421D"/>
    <w:rsid w:val="00405490"/>
    <w:rsid w:val="0040571D"/>
    <w:rsid w:val="00410FA6"/>
    <w:rsid w:val="004115AB"/>
    <w:rsid w:val="00411CE1"/>
    <w:rsid w:val="00412723"/>
    <w:rsid w:val="0041313E"/>
    <w:rsid w:val="00417142"/>
    <w:rsid w:val="004174C5"/>
    <w:rsid w:val="00422650"/>
    <w:rsid w:val="00424297"/>
    <w:rsid w:val="004250CC"/>
    <w:rsid w:val="0042572C"/>
    <w:rsid w:val="004268F1"/>
    <w:rsid w:val="004276D7"/>
    <w:rsid w:val="00430583"/>
    <w:rsid w:val="00431488"/>
    <w:rsid w:val="00431FC1"/>
    <w:rsid w:val="00432345"/>
    <w:rsid w:val="00441130"/>
    <w:rsid w:val="00442526"/>
    <w:rsid w:val="004439B7"/>
    <w:rsid w:val="00443A2D"/>
    <w:rsid w:val="00446862"/>
    <w:rsid w:val="0045067C"/>
    <w:rsid w:val="00451FD1"/>
    <w:rsid w:val="00454613"/>
    <w:rsid w:val="00462139"/>
    <w:rsid w:val="00462A63"/>
    <w:rsid w:val="00464B2A"/>
    <w:rsid w:val="00464B40"/>
    <w:rsid w:val="00484C7E"/>
    <w:rsid w:val="00491058"/>
    <w:rsid w:val="00492410"/>
    <w:rsid w:val="004953F4"/>
    <w:rsid w:val="004A0473"/>
    <w:rsid w:val="004A0575"/>
    <w:rsid w:val="004A171C"/>
    <w:rsid w:val="004A1995"/>
    <w:rsid w:val="004A1FCB"/>
    <w:rsid w:val="004A20CD"/>
    <w:rsid w:val="004A5871"/>
    <w:rsid w:val="004A780A"/>
    <w:rsid w:val="004B00F7"/>
    <w:rsid w:val="004B119F"/>
    <w:rsid w:val="004B2C07"/>
    <w:rsid w:val="004C076B"/>
    <w:rsid w:val="004C18F0"/>
    <w:rsid w:val="004C324D"/>
    <w:rsid w:val="004C48F3"/>
    <w:rsid w:val="004C4C9B"/>
    <w:rsid w:val="004D2549"/>
    <w:rsid w:val="004D2BC3"/>
    <w:rsid w:val="004E1DDE"/>
    <w:rsid w:val="004E2A76"/>
    <w:rsid w:val="004E4DFC"/>
    <w:rsid w:val="004E66FE"/>
    <w:rsid w:val="004E7CC8"/>
    <w:rsid w:val="004F2127"/>
    <w:rsid w:val="004F71C4"/>
    <w:rsid w:val="004F7942"/>
    <w:rsid w:val="00500EEE"/>
    <w:rsid w:val="00503102"/>
    <w:rsid w:val="00504451"/>
    <w:rsid w:val="00504FDE"/>
    <w:rsid w:val="00510144"/>
    <w:rsid w:val="00511C7B"/>
    <w:rsid w:val="00517288"/>
    <w:rsid w:val="005174FC"/>
    <w:rsid w:val="005205B8"/>
    <w:rsid w:val="005214CF"/>
    <w:rsid w:val="00524F65"/>
    <w:rsid w:val="0052541E"/>
    <w:rsid w:val="005277A4"/>
    <w:rsid w:val="00531937"/>
    <w:rsid w:val="005348B4"/>
    <w:rsid w:val="0053514D"/>
    <w:rsid w:val="00536E20"/>
    <w:rsid w:val="00543B98"/>
    <w:rsid w:val="00547218"/>
    <w:rsid w:val="00547E9D"/>
    <w:rsid w:val="00555462"/>
    <w:rsid w:val="00563E87"/>
    <w:rsid w:val="00565B45"/>
    <w:rsid w:val="00567AE0"/>
    <w:rsid w:val="00571A4C"/>
    <w:rsid w:val="005731A9"/>
    <w:rsid w:val="005753A7"/>
    <w:rsid w:val="00575A8D"/>
    <w:rsid w:val="0058203F"/>
    <w:rsid w:val="00582220"/>
    <w:rsid w:val="00585F7A"/>
    <w:rsid w:val="00586E97"/>
    <w:rsid w:val="005871A8"/>
    <w:rsid w:val="005940C1"/>
    <w:rsid w:val="00595D86"/>
    <w:rsid w:val="00596262"/>
    <w:rsid w:val="005B020B"/>
    <w:rsid w:val="005B665D"/>
    <w:rsid w:val="005C05A7"/>
    <w:rsid w:val="005C1479"/>
    <w:rsid w:val="005C2340"/>
    <w:rsid w:val="005C319C"/>
    <w:rsid w:val="005C400E"/>
    <w:rsid w:val="005C4450"/>
    <w:rsid w:val="005D59AF"/>
    <w:rsid w:val="005D7C48"/>
    <w:rsid w:val="005E2356"/>
    <w:rsid w:val="005E36AA"/>
    <w:rsid w:val="005E4083"/>
    <w:rsid w:val="005E4549"/>
    <w:rsid w:val="005E501A"/>
    <w:rsid w:val="005E5FAC"/>
    <w:rsid w:val="005E6D2C"/>
    <w:rsid w:val="005F173B"/>
    <w:rsid w:val="005F1C65"/>
    <w:rsid w:val="005F383B"/>
    <w:rsid w:val="005F7461"/>
    <w:rsid w:val="005F7B54"/>
    <w:rsid w:val="006019CA"/>
    <w:rsid w:val="00602CF9"/>
    <w:rsid w:val="00603F74"/>
    <w:rsid w:val="006072B8"/>
    <w:rsid w:val="00610933"/>
    <w:rsid w:val="00611133"/>
    <w:rsid w:val="00611207"/>
    <w:rsid w:val="00613C98"/>
    <w:rsid w:val="00621BDA"/>
    <w:rsid w:val="006314F4"/>
    <w:rsid w:val="00636CB3"/>
    <w:rsid w:val="006376EF"/>
    <w:rsid w:val="006400BD"/>
    <w:rsid w:val="00640693"/>
    <w:rsid w:val="00642872"/>
    <w:rsid w:val="006434B1"/>
    <w:rsid w:val="00643A70"/>
    <w:rsid w:val="006509F5"/>
    <w:rsid w:val="0065225F"/>
    <w:rsid w:val="00652D5C"/>
    <w:rsid w:val="0066215A"/>
    <w:rsid w:val="0066304E"/>
    <w:rsid w:val="00670CCD"/>
    <w:rsid w:val="006759A6"/>
    <w:rsid w:val="00686B07"/>
    <w:rsid w:val="00687A49"/>
    <w:rsid w:val="0069037A"/>
    <w:rsid w:val="006906D8"/>
    <w:rsid w:val="00692574"/>
    <w:rsid w:val="006948F9"/>
    <w:rsid w:val="00697F42"/>
    <w:rsid w:val="006A314B"/>
    <w:rsid w:val="006A464C"/>
    <w:rsid w:val="006A56D3"/>
    <w:rsid w:val="006B1643"/>
    <w:rsid w:val="006B42E8"/>
    <w:rsid w:val="006B5174"/>
    <w:rsid w:val="006D0E4D"/>
    <w:rsid w:val="006D1729"/>
    <w:rsid w:val="006E41E9"/>
    <w:rsid w:val="006F3821"/>
    <w:rsid w:val="006F6467"/>
    <w:rsid w:val="006F7974"/>
    <w:rsid w:val="006F7C14"/>
    <w:rsid w:val="00702F31"/>
    <w:rsid w:val="00703CDD"/>
    <w:rsid w:val="00704F86"/>
    <w:rsid w:val="00706BCD"/>
    <w:rsid w:val="0071232C"/>
    <w:rsid w:val="00725311"/>
    <w:rsid w:val="00726AA8"/>
    <w:rsid w:val="007432E5"/>
    <w:rsid w:val="0074331A"/>
    <w:rsid w:val="007455C9"/>
    <w:rsid w:val="007501EF"/>
    <w:rsid w:val="007577AD"/>
    <w:rsid w:val="00757EE6"/>
    <w:rsid w:val="00760792"/>
    <w:rsid w:val="00760A21"/>
    <w:rsid w:val="00770A8A"/>
    <w:rsid w:val="00771670"/>
    <w:rsid w:val="007719A3"/>
    <w:rsid w:val="007779DD"/>
    <w:rsid w:val="00777FC4"/>
    <w:rsid w:val="00780296"/>
    <w:rsid w:val="007900A9"/>
    <w:rsid w:val="00794F50"/>
    <w:rsid w:val="00795238"/>
    <w:rsid w:val="007A3B46"/>
    <w:rsid w:val="007B083F"/>
    <w:rsid w:val="007B6109"/>
    <w:rsid w:val="007B6A3E"/>
    <w:rsid w:val="007C4AF4"/>
    <w:rsid w:val="007D105D"/>
    <w:rsid w:val="007D4229"/>
    <w:rsid w:val="007E2F24"/>
    <w:rsid w:val="007E3167"/>
    <w:rsid w:val="007E4558"/>
    <w:rsid w:val="007F33EA"/>
    <w:rsid w:val="007F3843"/>
    <w:rsid w:val="007F4774"/>
    <w:rsid w:val="007F5E69"/>
    <w:rsid w:val="007F7C15"/>
    <w:rsid w:val="00800A58"/>
    <w:rsid w:val="00803ADA"/>
    <w:rsid w:val="0080458C"/>
    <w:rsid w:val="00804E8D"/>
    <w:rsid w:val="00806D67"/>
    <w:rsid w:val="00813A4E"/>
    <w:rsid w:val="008154B7"/>
    <w:rsid w:val="00816478"/>
    <w:rsid w:val="0082069B"/>
    <w:rsid w:val="00824017"/>
    <w:rsid w:val="0082644B"/>
    <w:rsid w:val="00827FFC"/>
    <w:rsid w:val="0083167A"/>
    <w:rsid w:val="00833A62"/>
    <w:rsid w:val="00845DD5"/>
    <w:rsid w:val="00846BAC"/>
    <w:rsid w:val="00852FB2"/>
    <w:rsid w:val="008552CF"/>
    <w:rsid w:val="00857B8D"/>
    <w:rsid w:val="00872DED"/>
    <w:rsid w:val="008736E2"/>
    <w:rsid w:val="00876655"/>
    <w:rsid w:val="00877CF6"/>
    <w:rsid w:val="008812DF"/>
    <w:rsid w:val="00881A41"/>
    <w:rsid w:val="00882286"/>
    <w:rsid w:val="008826B4"/>
    <w:rsid w:val="008828EC"/>
    <w:rsid w:val="00885F91"/>
    <w:rsid w:val="008878E5"/>
    <w:rsid w:val="0089244D"/>
    <w:rsid w:val="00892521"/>
    <w:rsid w:val="008A3B9B"/>
    <w:rsid w:val="008A6424"/>
    <w:rsid w:val="008B0AD0"/>
    <w:rsid w:val="008B2A24"/>
    <w:rsid w:val="008B5C6C"/>
    <w:rsid w:val="008B7F25"/>
    <w:rsid w:val="008C273D"/>
    <w:rsid w:val="008C7E61"/>
    <w:rsid w:val="008D0B4A"/>
    <w:rsid w:val="008D79EB"/>
    <w:rsid w:val="008E3C5E"/>
    <w:rsid w:val="008E539E"/>
    <w:rsid w:val="00901258"/>
    <w:rsid w:val="00912406"/>
    <w:rsid w:val="00916516"/>
    <w:rsid w:val="00935123"/>
    <w:rsid w:val="009402F1"/>
    <w:rsid w:val="00944CC2"/>
    <w:rsid w:val="00944E5E"/>
    <w:rsid w:val="00947DC5"/>
    <w:rsid w:val="009522C0"/>
    <w:rsid w:val="0095492B"/>
    <w:rsid w:val="009549CC"/>
    <w:rsid w:val="00957394"/>
    <w:rsid w:val="0096629E"/>
    <w:rsid w:val="009671F1"/>
    <w:rsid w:val="00970667"/>
    <w:rsid w:val="00974E60"/>
    <w:rsid w:val="009778BB"/>
    <w:rsid w:val="009814D2"/>
    <w:rsid w:val="00982979"/>
    <w:rsid w:val="00982F67"/>
    <w:rsid w:val="0098427D"/>
    <w:rsid w:val="00990FF2"/>
    <w:rsid w:val="009953D9"/>
    <w:rsid w:val="009A5AA3"/>
    <w:rsid w:val="009B1BEF"/>
    <w:rsid w:val="009B3AFB"/>
    <w:rsid w:val="009C013C"/>
    <w:rsid w:val="009C071A"/>
    <w:rsid w:val="009C4085"/>
    <w:rsid w:val="009C46FC"/>
    <w:rsid w:val="009C4718"/>
    <w:rsid w:val="009D55CB"/>
    <w:rsid w:val="009E60AF"/>
    <w:rsid w:val="009F09DD"/>
    <w:rsid w:val="009F2320"/>
    <w:rsid w:val="009F43FD"/>
    <w:rsid w:val="009F7C0D"/>
    <w:rsid w:val="00A011DA"/>
    <w:rsid w:val="00A03A03"/>
    <w:rsid w:val="00A06532"/>
    <w:rsid w:val="00A11610"/>
    <w:rsid w:val="00A22480"/>
    <w:rsid w:val="00A23495"/>
    <w:rsid w:val="00A2401D"/>
    <w:rsid w:val="00A24CB0"/>
    <w:rsid w:val="00A35359"/>
    <w:rsid w:val="00A35CA9"/>
    <w:rsid w:val="00A43343"/>
    <w:rsid w:val="00A4365C"/>
    <w:rsid w:val="00A44723"/>
    <w:rsid w:val="00A453E7"/>
    <w:rsid w:val="00A45497"/>
    <w:rsid w:val="00A45AFD"/>
    <w:rsid w:val="00A55ABE"/>
    <w:rsid w:val="00A607F5"/>
    <w:rsid w:val="00A60B23"/>
    <w:rsid w:val="00A6214A"/>
    <w:rsid w:val="00A6367B"/>
    <w:rsid w:val="00A66F4C"/>
    <w:rsid w:val="00A71F11"/>
    <w:rsid w:val="00A8307B"/>
    <w:rsid w:val="00A845CE"/>
    <w:rsid w:val="00A84EFC"/>
    <w:rsid w:val="00A96099"/>
    <w:rsid w:val="00A97300"/>
    <w:rsid w:val="00AA07BD"/>
    <w:rsid w:val="00AA271D"/>
    <w:rsid w:val="00AA51A2"/>
    <w:rsid w:val="00AB1482"/>
    <w:rsid w:val="00AB1A9D"/>
    <w:rsid w:val="00AB2F16"/>
    <w:rsid w:val="00AB5877"/>
    <w:rsid w:val="00AB6091"/>
    <w:rsid w:val="00AC0515"/>
    <w:rsid w:val="00AC3EB6"/>
    <w:rsid w:val="00AC4D83"/>
    <w:rsid w:val="00AD0469"/>
    <w:rsid w:val="00AD70B2"/>
    <w:rsid w:val="00AD749E"/>
    <w:rsid w:val="00AE72F1"/>
    <w:rsid w:val="00AF07F7"/>
    <w:rsid w:val="00AF2A97"/>
    <w:rsid w:val="00AF7B04"/>
    <w:rsid w:val="00B0034D"/>
    <w:rsid w:val="00B06472"/>
    <w:rsid w:val="00B1694E"/>
    <w:rsid w:val="00B2094E"/>
    <w:rsid w:val="00B23E5B"/>
    <w:rsid w:val="00B25982"/>
    <w:rsid w:val="00B3036E"/>
    <w:rsid w:val="00B30969"/>
    <w:rsid w:val="00B37B34"/>
    <w:rsid w:val="00B552C8"/>
    <w:rsid w:val="00B60BF2"/>
    <w:rsid w:val="00B61FF7"/>
    <w:rsid w:val="00B630A7"/>
    <w:rsid w:val="00B63E1F"/>
    <w:rsid w:val="00B67237"/>
    <w:rsid w:val="00B702E7"/>
    <w:rsid w:val="00B727C3"/>
    <w:rsid w:val="00B72928"/>
    <w:rsid w:val="00B7636D"/>
    <w:rsid w:val="00B8091D"/>
    <w:rsid w:val="00B9589F"/>
    <w:rsid w:val="00B973B9"/>
    <w:rsid w:val="00BA6458"/>
    <w:rsid w:val="00BA6844"/>
    <w:rsid w:val="00BA78FF"/>
    <w:rsid w:val="00BC339F"/>
    <w:rsid w:val="00BC42B1"/>
    <w:rsid w:val="00BC7A1F"/>
    <w:rsid w:val="00BC7AEE"/>
    <w:rsid w:val="00BE28C7"/>
    <w:rsid w:val="00BE3B3F"/>
    <w:rsid w:val="00BE5644"/>
    <w:rsid w:val="00BF0B8A"/>
    <w:rsid w:val="00BF196A"/>
    <w:rsid w:val="00BF1C24"/>
    <w:rsid w:val="00BF225D"/>
    <w:rsid w:val="00BF32CF"/>
    <w:rsid w:val="00C00F56"/>
    <w:rsid w:val="00C057EA"/>
    <w:rsid w:val="00C06494"/>
    <w:rsid w:val="00C068DF"/>
    <w:rsid w:val="00C07A5C"/>
    <w:rsid w:val="00C237CA"/>
    <w:rsid w:val="00C31AA5"/>
    <w:rsid w:val="00C32780"/>
    <w:rsid w:val="00C32BF4"/>
    <w:rsid w:val="00C33769"/>
    <w:rsid w:val="00C41D99"/>
    <w:rsid w:val="00C45409"/>
    <w:rsid w:val="00C47C9A"/>
    <w:rsid w:val="00C55D9A"/>
    <w:rsid w:val="00C56A43"/>
    <w:rsid w:val="00C57D5E"/>
    <w:rsid w:val="00C67BF7"/>
    <w:rsid w:val="00C74384"/>
    <w:rsid w:val="00C76D9F"/>
    <w:rsid w:val="00C80BB9"/>
    <w:rsid w:val="00C80D6F"/>
    <w:rsid w:val="00C826ED"/>
    <w:rsid w:val="00C84939"/>
    <w:rsid w:val="00C96ABB"/>
    <w:rsid w:val="00C96F43"/>
    <w:rsid w:val="00CA21C8"/>
    <w:rsid w:val="00CA59A7"/>
    <w:rsid w:val="00CA6252"/>
    <w:rsid w:val="00CD0A71"/>
    <w:rsid w:val="00CD2B75"/>
    <w:rsid w:val="00CD6AB4"/>
    <w:rsid w:val="00CE3169"/>
    <w:rsid w:val="00CF171E"/>
    <w:rsid w:val="00D01B0B"/>
    <w:rsid w:val="00D01B8F"/>
    <w:rsid w:val="00D03A5E"/>
    <w:rsid w:val="00D05D18"/>
    <w:rsid w:val="00D115B9"/>
    <w:rsid w:val="00D141B3"/>
    <w:rsid w:val="00D171E9"/>
    <w:rsid w:val="00D20E46"/>
    <w:rsid w:val="00D30145"/>
    <w:rsid w:val="00D31171"/>
    <w:rsid w:val="00D326BC"/>
    <w:rsid w:val="00D36AFA"/>
    <w:rsid w:val="00D36CA5"/>
    <w:rsid w:val="00D3727A"/>
    <w:rsid w:val="00D412E5"/>
    <w:rsid w:val="00D41ECC"/>
    <w:rsid w:val="00D50388"/>
    <w:rsid w:val="00D53F43"/>
    <w:rsid w:val="00D5708F"/>
    <w:rsid w:val="00D60FDF"/>
    <w:rsid w:val="00D61BD8"/>
    <w:rsid w:val="00D62F74"/>
    <w:rsid w:val="00D63492"/>
    <w:rsid w:val="00D648A1"/>
    <w:rsid w:val="00D64F64"/>
    <w:rsid w:val="00D7211A"/>
    <w:rsid w:val="00D76D43"/>
    <w:rsid w:val="00D826DB"/>
    <w:rsid w:val="00D827BC"/>
    <w:rsid w:val="00D84D50"/>
    <w:rsid w:val="00D86EBC"/>
    <w:rsid w:val="00D87AB2"/>
    <w:rsid w:val="00D97AEB"/>
    <w:rsid w:val="00DA0C0F"/>
    <w:rsid w:val="00DA19DF"/>
    <w:rsid w:val="00DA1CB6"/>
    <w:rsid w:val="00DA523D"/>
    <w:rsid w:val="00DA5345"/>
    <w:rsid w:val="00DA78D0"/>
    <w:rsid w:val="00DB0829"/>
    <w:rsid w:val="00DB391B"/>
    <w:rsid w:val="00DB3C8B"/>
    <w:rsid w:val="00DB4BCA"/>
    <w:rsid w:val="00DB55C9"/>
    <w:rsid w:val="00DB7982"/>
    <w:rsid w:val="00DC0FF8"/>
    <w:rsid w:val="00DC1083"/>
    <w:rsid w:val="00DC2B86"/>
    <w:rsid w:val="00DD0B06"/>
    <w:rsid w:val="00DD228E"/>
    <w:rsid w:val="00DD7A27"/>
    <w:rsid w:val="00DE24C2"/>
    <w:rsid w:val="00DE3B12"/>
    <w:rsid w:val="00DE76C6"/>
    <w:rsid w:val="00DF07EE"/>
    <w:rsid w:val="00DF1682"/>
    <w:rsid w:val="00DF42F9"/>
    <w:rsid w:val="00DF534F"/>
    <w:rsid w:val="00DF7BCC"/>
    <w:rsid w:val="00E0011E"/>
    <w:rsid w:val="00E1082B"/>
    <w:rsid w:val="00E10CDB"/>
    <w:rsid w:val="00E17F93"/>
    <w:rsid w:val="00E21E25"/>
    <w:rsid w:val="00E2350B"/>
    <w:rsid w:val="00E26ED2"/>
    <w:rsid w:val="00E31AD7"/>
    <w:rsid w:val="00E33963"/>
    <w:rsid w:val="00E400B1"/>
    <w:rsid w:val="00E440C2"/>
    <w:rsid w:val="00E46651"/>
    <w:rsid w:val="00E5049A"/>
    <w:rsid w:val="00E527E9"/>
    <w:rsid w:val="00E56DB1"/>
    <w:rsid w:val="00E62968"/>
    <w:rsid w:val="00E6344D"/>
    <w:rsid w:val="00E6792E"/>
    <w:rsid w:val="00E67D34"/>
    <w:rsid w:val="00E73DC5"/>
    <w:rsid w:val="00E82026"/>
    <w:rsid w:val="00E83F53"/>
    <w:rsid w:val="00E90D79"/>
    <w:rsid w:val="00E934F5"/>
    <w:rsid w:val="00E93B95"/>
    <w:rsid w:val="00E95362"/>
    <w:rsid w:val="00E96D38"/>
    <w:rsid w:val="00EA0074"/>
    <w:rsid w:val="00EA7D84"/>
    <w:rsid w:val="00EC0395"/>
    <w:rsid w:val="00EC0505"/>
    <w:rsid w:val="00EC1A38"/>
    <w:rsid w:val="00EC6694"/>
    <w:rsid w:val="00EC67B6"/>
    <w:rsid w:val="00ED1E3C"/>
    <w:rsid w:val="00ED5908"/>
    <w:rsid w:val="00EE7D15"/>
    <w:rsid w:val="00EF3584"/>
    <w:rsid w:val="00F0273C"/>
    <w:rsid w:val="00F03B8A"/>
    <w:rsid w:val="00F073ED"/>
    <w:rsid w:val="00F11DEB"/>
    <w:rsid w:val="00F16239"/>
    <w:rsid w:val="00F16A2D"/>
    <w:rsid w:val="00F22207"/>
    <w:rsid w:val="00F26E7A"/>
    <w:rsid w:val="00F309D8"/>
    <w:rsid w:val="00F360B1"/>
    <w:rsid w:val="00F444B0"/>
    <w:rsid w:val="00F46C9E"/>
    <w:rsid w:val="00F5096E"/>
    <w:rsid w:val="00F53CA5"/>
    <w:rsid w:val="00F542B5"/>
    <w:rsid w:val="00F556EE"/>
    <w:rsid w:val="00F57A9A"/>
    <w:rsid w:val="00F61A31"/>
    <w:rsid w:val="00F721EC"/>
    <w:rsid w:val="00F73676"/>
    <w:rsid w:val="00F749AA"/>
    <w:rsid w:val="00F75BBE"/>
    <w:rsid w:val="00F80CC5"/>
    <w:rsid w:val="00F821E6"/>
    <w:rsid w:val="00F84318"/>
    <w:rsid w:val="00F85B98"/>
    <w:rsid w:val="00F8671D"/>
    <w:rsid w:val="00F87E93"/>
    <w:rsid w:val="00F93EF8"/>
    <w:rsid w:val="00F94FD6"/>
    <w:rsid w:val="00F95333"/>
    <w:rsid w:val="00FA1EEA"/>
    <w:rsid w:val="00FA1F92"/>
    <w:rsid w:val="00FA6DE5"/>
    <w:rsid w:val="00FA7BC8"/>
    <w:rsid w:val="00FB0A9D"/>
    <w:rsid w:val="00FB2C40"/>
    <w:rsid w:val="00FB2FCA"/>
    <w:rsid w:val="00FB5744"/>
    <w:rsid w:val="00FB5EE4"/>
    <w:rsid w:val="00FC734D"/>
    <w:rsid w:val="00FD3196"/>
    <w:rsid w:val="00FE5E7D"/>
    <w:rsid w:val="00FE6005"/>
    <w:rsid w:val="00FF10F5"/>
    <w:rsid w:val="00FF191D"/>
    <w:rsid w:val="00FF409C"/>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13A0"/>
  <w15:chartTrackingRefBased/>
  <w15:docId w15:val="{264FDC37-1BF2-4823-A04D-21A708B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504451"/>
    <w:pPr>
      <w:spacing w:before="240" w:after="0" w:line="240" w:lineRule="auto"/>
      <w:ind w:firstLine="720"/>
      <w:jc w:val="lowKashida"/>
    </w:pPr>
    <w:rPr>
      <w:rFonts w:ascii="Times New Roman" w:eastAsia="Calibri" w:hAnsi="Times New Roman" w:cs="Times New Roman"/>
      <w:sz w:val="24"/>
      <w:szCs w:val="24"/>
    </w:rPr>
  </w:style>
  <w:style w:type="character" w:customStyle="1" w:styleId="PChar">
    <w:name w:val="P Char"/>
    <w:link w:val="P"/>
    <w:rsid w:val="00504451"/>
    <w:rPr>
      <w:rFonts w:ascii="Times New Roman" w:eastAsia="Calibri" w:hAnsi="Times New Roman" w:cs="Times New Roman"/>
      <w:sz w:val="24"/>
      <w:szCs w:val="24"/>
    </w:rPr>
  </w:style>
  <w:style w:type="paragraph" w:styleId="Caption">
    <w:name w:val="caption"/>
    <w:aliases w:val="Table Caption"/>
    <w:basedOn w:val="Normal"/>
    <w:next w:val="Normal"/>
    <w:link w:val="CaptionChar"/>
    <w:uiPriority w:val="35"/>
    <w:unhideWhenUsed/>
    <w:qFormat/>
    <w:rsid w:val="008826B4"/>
    <w:pPr>
      <w:keepNext/>
      <w:spacing w:after="200" w:line="240" w:lineRule="auto"/>
    </w:pPr>
    <w:rPr>
      <w:rFonts w:ascii="Times New Roman" w:eastAsia="Times New Roman" w:hAnsi="Times New Roman" w:cs="Times New Roman"/>
      <w:b/>
      <w:bCs/>
      <w:color w:val="000000"/>
      <w:sz w:val="24"/>
      <w:szCs w:val="36"/>
      <w:lang w:val="en-GB" w:eastAsia="x-none"/>
    </w:rPr>
  </w:style>
  <w:style w:type="character" w:customStyle="1" w:styleId="CaptionChar">
    <w:name w:val="Caption Char"/>
    <w:aliases w:val="Table Caption Char"/>
    <w:link w:val="Caption"/>
    <w:uiPriority w:val="35"/>
    <w:rsid w:val="008826B4"/>
    <w:rPr>
      <w:rFonts w:ascii="Times New Roman" w:eastAsia="Times New Roman" w:hAnsi="Times New Roman" w:cs="Times New Roman"/>
      <w:b/>
      <w:bCs/>
      <w:color w:val="000000"/>
      <w:sz w:val="24"/>
      <w:szCs w:val="36"/>
      <w:lang w:val="en-GB" w:eastAsia="x-none"/>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E10CDB"/>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sid w:val="00E10CDB"/>
    <w:rPr>
      <w:rFonts w:ascii="Times New Roman" w:eastAsia="Times New Roman" w:hAnsi="Times New Roman" w:cs="Akhbar MT"/>
      <w:sz w:val="20"/>
      <w:szCs w:val="20"/>
      <w:lang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styleId="UnresolvedMention">
    <w:name w:val="Unresolved Mention"/>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eastAsia="Calibri" w:hAnsiTheme="majorBidi" w:cstheme="majorBidi"/>
      <w:b/>
      <w:bCs/>
      <w:sz w:val="24"/>
      <w:szCs w:val="24"/>
    </w:rPr>
  </w:style>
  <w:style w:type="paragraph" w:styleId="ListParagraph">
    <w:name w:val="List Paragraph"/>
    <w:basedOn w:val="Normal"/>
    <w:uiPriority w:val="34"/>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rsid w:val="00760792"/>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0">
    <w:name w:val="Paragraph"/>
    <w:basedOn w:val="Normal"/>
    <w:link w:val="ParagraphChar0"/>
    <w:qFormat/>
    <w:rsid w:val="00D63492"/>
    <w:pPr>
      <w:spacing w:after="200" w:line="360" w:lineRule="auto"/>
      <w:ind w:firstLine="720"/>
      <w:jc w:val="both"/>
    </w:pPr>
    <w:rPr>
      <w:rFonts w:ascii="Times New Roman" w:eastAsia="Calibri" w:hAnsi="Times New Roman" w:cs="Times New Roman"/>
      <w:color w:val="000000"/>
      <w:sz w:val="28"/>
      <w:szCs w:val="24"/>
    </w:rPr>
  </w:style>
  <w:style w:type="character" w:customStyle="1" w:styleId="ParagraphChar0">
    <w:name w:val="Paragraph Char"/>
    <w:aliases w:val="List Paragraph Char"/>
    <w:link w:val="Paragraph0"/>
    <w:rsid w:val="00D63492"/>
    <w:rPr>
      <w:rFonts w:ascii="Times New Roman" w:eastAsia="Calibri" w:hAnsi="Times New Roman" w:cs="Times New Roman"/>
      <w:color w:val="000000"/>
      <w:sz w:val="28"/>
      <w:szCs w:val="24"/>
    </w:rPr>
  </w:style>
  <w:style w:type="character" w:styleId="Strong">
    <w:name w:val="Strong"/>
    <w:basedOn w:val="DefaultParagraphFont"/>
    <w:uiPriority w:val="22"/>
    <w:rsid w:val="004953F4"/>
    <w:rPr>
      <w:b/>
      <w:bCs/>
    </w:rPr>
  </w:style>
  <w:style w:type="paragraph" w:customStyle="1" w:styleId="Footnote0">
    <w:name w:val="Footnote"/>
    <w:basedOn w:val="Caption"/>
    <w:link w:val="FootnoteChar0"/>
    <w:qFormat/>
    <w:rsid w:val="004953F4"/>
    <w:pPr>
      <w:spacing w:after="0"/>
      <w:jc w:val="both"/>
    </w:pPr>
    <w:rPr>
      <w:rFonts w:asciiTheme="majorBidi" w:eastAsia="SimSun" w:hAnsiTheme="majorBidi" w:cstheme="majorBidi"/>
      <w:b w:val="0"/>
      <w:bCs w:val="0"/>
      <w:color w:val="000000" w:themeColor="text1"/>
      <w:sz w:val="20"/>
      <w:szCs w:val="20"/>
    </w:rPr>
  </w:style>
  <w:style w:type="character" w:customStyle="1" w:styleId="FootnoteChar0">
    <w:name w:val="Footnote Char"/>
    <w:basedOn w:val="CaptionChar"/>
    <w:link w:val="Footnote0"/>
    <w:rsid w:val="004953F4"/>
    <w:rPr>
      <w:rFonts w:asciiTheme="majorBidi" w:eastAsia="SimSun" w:hAnsiTheme="majorBidi" w:cstheme="majorBidi"/>
      <w:b w:val="0"/>
      <w:bCs w:val="0"/>
      <w:color w:val="000000" w:themeColor="text1"/>
      <w:sz w:val="20"/>
      <w:szCs w:val="20"/>
      <w:lang w:val="en-GB" w:eastAsia="x-none"/>
    </w:rPr>
  </w:style>
  <w:style w:type="character" w:customStyle="1" w:styleId="PChar0">
    <w:name w:val="P_ Char"/>
    <w:basedOn w:val="CaptionChar"/>
    <w:link w:val="P0"/>
    <w:locked/>
    <w:rsid w:val="004953F4"/>
    <w:rPr>
      <w:rFonts w:ascii="Times New Roman" w:eastAsia="Calibri" w:hAnsi="Times New Roman" w:cs="Times New Roman"/>
      <w:b w:val="0"/>
      <w:bCs w:val="0"/>
      <w:color w:val="000000" w:themeColor="text1"/>
      <w:sz w:val="28"/>
      <w:szCs w:val="28"/>
      <w:lang w:val="en-GB" w:eastAsia="x-none"/>
    </w:rPr>
  </w:style>
  <w:style w:type="paragraph" w:customStyle="1" w:styleId="P0">
    <w:name w:val="P_"/>
    <w:basedOn w:val="Caption"/>
    <w:link w:val="PChar0"/>
    <w:rsid w:val="004953F4"/>
    <w:pPr>
      <w:spacing w:line="360" w:lineRule="auto"/>
      <w:ind w:firstLine="720"/>
      <w:jc w:val="both"/>
    </w:pPr>
    <w:rPr>
      <w:rFonts w:eastAsia="Calibri"/>
      <w:b w:val="0"/>
      <w:bCs w:val="0"/>
      <w:color w:val="000000" w:themeColor="text1"/>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CC9E97-9730-46AE-B998-CBF9B92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19</Pages>
  <Words>10418</Words>
  <Characters>59385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Mohamed Sharaf</cp:lastModifiedBy>
  <cp:revision>386</cp:revision>
  <cp:lastPrinted>2025-12-25T18:19:00Z</cp:lastPrinted>
  <dcterms:created xsi:type="dcterms:W3CDTF">2022-12-11T09:17:00Z</dcterms:created>
  <dcterms:modified xsi:type="dcterms:W3CDTF">2026-02-08T10:01:00Z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ies>
</file>